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default" w:ascii="Times New Roman" w:hAnsi="Times New Roman" w:cs="Times New Roman"/>
          <w:bCs/>
          <w:color w:val="auto"/>
          <w:sz w:val="48"/>
          <w:highlight w:val="none"/>
        </w:rPr>
      </w:pPr>
      <w:bookmarkStart w:id="0" w:name="_Toc321925366"/>
      <w:bookmarkStart w:id="1" w:name="_Toc382465025"/>
      <w:bookmarkStart w:id="2" w:name="_Toc372899683"/>
      <w:bookmarkStart w:id="3" w:name="_Toc288556230"/>
      <w:bookmarkStart w:id="4" w:name="_Toc372899806"/>
    </w:p>
    <w:p>
      <w:pPr>
        <w:jc w:val="center"/>
        <w:outlineLvl w:val="0"/>
        <w:rPr>
          <w:rFonts w:hint="default" w:ascii="Times New Roman" w:hAnsi="Times New Roman" w:cs="Times New Roman"/>
          <w:bCs/>
          <w:color w:val="auto"/>
          <w:sz w:val="48"/>
          <w:highlight w:val="none"/>
        </w:rPr>
      </w:pPr>
      <w:r>
        <w:rPr>
          <w:rFonts w:hint="default" w:ascii="Times New Roman" w:hAnsi="Times New Roman" w:cs="Times New Roman"/>
          <w:bCs/>
          <w:color w:val="auto"/>
          <w:sz w:val="48"/>
          <w:highlight w:val="none"/>
        </w:rPr>
        <w:t>台州市建设工程</w:t>
      </w:r>
      <w:bookmarkEnd w:id="0"/>
      <w:bookmarkEnd w:id="1"/>
      <w:bookmarkEnd w:id="2"/>
      <w:bookmarkEnd w:id="3"/>
      <w:bookmarkEnd w:id="4"/>
    </w:p>
    <w:p>
      <w:pPr>
        <w:jc w:val="center"/>
        <w:rPr>
          <w:rFonts w:hint="default" w:ascii="Times New Roman" w:hAnsi="Times New Roman" w:cs="Times New Roman"/>
          <w:color w:val="auto"/>
          <w:sz w:val="72"/>
          <w:highlight w:val="none"/>
        </w:rPr>
      </w:pPr>
      <w:r>
        <w:rPr>
          <w:rFonts w:hint="default" w:ascii="Times New Roman" w:hAnsi="Times New Roman" w:cs="Times New Roman"/>
          <w:b/>
          <w:color w:val="auto"/>
          <w:sz w:val="84"/>
          <w:highlight w:val="none"/>
        </w:rPr>
        <w:t>招 标 文 件</w:t>
      </w:r>
    </w:p>
    <w:p>
      <w:pPr>
        <w:spacing w:line="4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40" w:lineRule="exact"/>
        <w:ind w:left="1148"/>
        <w:rPr>
          <w:rFonts w:hint="default" w:ascii="Times New Roman" w:hAnsi="Times New Roman" w:cs="Times New Roman"/>
          <w:b/>
          <w:bCs/>
          <w:color w:val="auto"/>
          <w:sz w:val="28"/>
          <w:highlight w:val="none"/>
        </w:rPr>
      </w:pPr>
    </w:p>
    <w:p>
      <w:pPr>
        <w:spacing w:line="288" w:lineRule="auto"/>
        <w:ind w:left="1148"/>
        <w:rPr>
          <w:rFonts w:hint="default" w:ascii="Times New Roman" w:hAnsi="Times New Roman" w:cs="Times New Roman"/>
          <w:color w:val="auto"/>
          <w:sz w:val="28"/>
          <w:highlight w:val="none"/>
        </w:rPr>
      </w:pPr>
    </w:p>
    <w:p>
      <w:pPr>
        <w:spacing w:line="480" w:lineRule="auto"/>
        <w:ind w:firstLine="1148" w:firstLineChars="410"/>
        <w:rPr>
          <w:rFonts w:hint="default" w:ascii="Times New Roman" w:hAnsi="Times New Roman" w:cs="Times New Roman"/>
          <w:bCs/>
          <w:color w:val="auto"/>
          <w:sz w:val="28"/>
          <w:highlight w:val="none"/>
        </w:rPr>
      </w:pPr>
    </w:p>
    <w:p>
      <w:pPr>
        <w:pStyle w:val="2"/>
        <w:rPr>
          <w:rFonts w:hint="default" w:ascii="Times New Roman" w:hAnsi="Times New Roman" w:cs="Times New Roman"/>
          <w:color w:val="auto"/>
          <w:highlight w:val="none"/>
        </w:rPr>
      </w:pPr>
    </w:p>
    <w:p>
      <w:pPr>
        <w:spacing w:line="600" w:lineRule="exact"/>
        <w:ind w:left="2517" w:leftChars="532" w:hanging="1400" w:hangingChars="500"/>
        <w:rPr>
          <w:rFonts w:hint="eastAsia" w:ascii="Times New Roman" w:hAnsi="Times New Roman" w:eastAsia="宋体" w:cs="Times New Roman"/>
          <w:color w:val="auto"/>
          <w:sz w:val="28"/>
          <w:highlight w:val="none"/>
          <w:u w:val="single"/>
          <w:lang w:eastAsia="zh-CN"/>
        </w:rPr>
      </w:pPr>
      <w:r>
        <w:rPr>
          <w:rFonts w:hint="default" w:ascii="Times New Roman" w:hAnsi="Times New Roman" w:cs="Times New Roman"/>
          <w:bCs/>
          <w:color w:val="auto"/>
          <w:sz w:val="28"/>
          <w:highlight w:val="none"/>
        </w:rPr>
        <w:t>招标项目：</w:t>
      </w:r>
      <w:r>
        <w:rPr>
          <w:rFonts w:hint="eastAsia" w:ascii="Times New Roman" w:hAnsi="Times New Roman" w:cs="Times New Roman"/>
          <w:color w:val="auto"/>
          <w:sz w:val="28"/>
          <w:highlight w:val="none"/>
          <w:u w:val="single"/>
          <w:lang w:eastAsia="zh-CN"/>
        </w:rPr>
        <w:t>20</w:t>
      </w:r>
      <w:r>
        <w:rPr>
          <w:rFonts w:hint="eastAsia" w:ascii="Times New Roman" w:hAnsi="Times New Roman" w:cs="Times New Roman"/>
          <w:color w:val="auto"/>
          <w:sz w:val="28"/>
          <w:highlight w:val="none"/>
          <w:u w:val="single"/>
          <w:lang w:val="en-US" w:eastAsia="zh-CN"/>
        </w:rPr>
        <w:t>20</w:t>
      </w:r>
      <w:r>
        <w:rPr>
          <w:rFonts w:hint="eastAsia" w:ascii="Times New Roman" w:hAnsi="Times New Roman" w:cs="Times New Roman"/>
          <w:color w:val="auto"/>
          <w:sz w:val="28"/>
          <w:highlight w:val="none"/>
          <w:u w:val="single"/>
          <w:lang w:eastAsia="zh-CN"/>
        </w:rPr>
        <w:t>年芦浦镇创建国家卫生镇病媒生物防治项目</w:t>
      </w:r>
    </w:p>
    <w:p>
      <w:pPr>
        <w:pStyle w:val="2"/>
        <w:rPr>
          <w:rFonts w:hint="default" w:ascii="Times New Roman" w:hAnsi="Times New Roman" w:cs="Times New Roman"/>
          <w:color w:val="auto"/>
          <w:highlight w:val="none"/>
        </w:rPr>
      </w:pP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 标 人：</w:t>
      </w:r>
      <w:r>
        <w:rPr>
          <w:rFonts w:hint="eastAsia" w:ascii="Times New Roman" w:hAnsi="Times New Roman" w:cs="Times New Roman"/>
          <w:color w:val="auto"/>
          <w:sz w:val="28"/>
          <w:highlight w:val="none"/>
          <w:u w:val="single"/>
          <w:lang w:eastAsia="zh-CN"/>
        </w:rPr>
        <w:t>玉环市芦浦镇人民政府</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default" w:ascii="Times New Roman" w:hAnsi="Times New Roman" w:cs="Times New Roman"/>
          <w:bCs/>
          <w:color w:val="auto"/>
          <w:sz w:val="28"/>
          <w:highlight w:val="none"/>
          <w:u w:val="single"/>
        </w:rPr>
      </w:pPr>
      <w:r>
        <w:rPr>
          <w:rFonts w:hint="default" w:ascii="Times New Roman" w:hAnsi="Times New Roman" w:cs="Times New Roman"/>
          <w:bCs/>
          <w:color w:val="auto"/>
          <w:sz w:val="28"/>
          <w:highlight w:val="none"/>
        </w:rPr>
        <w:t>招标代理机构：</w:t>
      </w:r>
      <w:r>
        <w:rPr>
          <w:rFonts w:hint="eastAsia" w:ascii="Times New Roman" w:hAnsi="Times New Roman" w:cs="Times New Roman"/>
          <w:color w:val="auto"/>
          <w:sz w:val="28"/>
          <w:highlight w:val="none"/>
          <w:u w:val="single"/>
          <w:lang w:eastAsia="zh-CN"/>
        </w:rPr>
        <w:t>台州恒信工程造价咨询有限公司</w:t>
      </w:r>
      <w:r>
        <w:rPr>
          <w:rFonts w:hint="default" w:ascii="Times New Roman" w:hAnsi="Times New Roman" w:cs="Times New Roman"/>
          <w:bCs/>
          <w:color w:val="auto"/>
          <w:sz w:val="28"/>
          <w:highlight w:val="none"/>
          <w:u w:val="single"/>
        </w:rPr>
        <w:t>（盖章）</w:t>
      </w:r>
    </w:p>
    <w:p>
      <w:pPr>
        <w:spacing w:line="600" w:lineRule="auto"/>
        <w:ind w:firstLine="1120" w:firstLineChars="400"/>
        <w:rPr>
          <w:rFonts w:hint="eastAsia" w:ascii="Times New Roman" w:hAnsi="Times New Roman" w:eastAsia="宋体" w:cs="Times New Roman"/>
          <w:bCs/>
          <w:color w:val="auto"/>
          <w:sz w:val="28"/>
          <w:highlight w:val="none"/>
          <w:lang w:eastAsia="zh-CN"/>
        </w:rPr>
      </w:pPr>
      <w:r>
        <w:rPr>
          <w:rFonts w:hint="default" w:ascii="Times New Roman" w:hAnsi="Times New Roman" w:cs="Times New Roman"/>
          <w:bCs/>
          <w:color w:val="auto"/>
          <w:sz w:val="28"/>
          <w:highlight w:val="none"/>
        </w:rPr>
        <w:t>代理项目负责人：</w:t>
      </w:r>
      <w:r>
        <w:rPr>
          <w:rFonts w:hint="eastAsia" w:ascii="Times New Roman" w:hAnsi="Times New Roman" w:cs="Times New Roman"/>
          <w:bCs/>
          <w:color w:val="auto"/>
          <w:sz w:val="28"/>
          <w:highlight w:val="none"/>
          <w:u w:val="single"/>
          <w:lang w:eastAsia="zh-CN"/>
        </w:rPr>
        <w:t>季朝晖</w:t>
      </w:r>
      <w:r>
        <w:rPr>
          <w:rFonts w:hint="default" w:ascii="Times New Roman" w:hAnsi="Times New Roman" w:cs="Times New Roman"/>
          <w:bCs/>
          <w:color w:val="auto"/>
          <w:sz w:val="28"/>
          <w:highlight w:val="none"/>
        </w:rPr>
        <w:t xml:space="preserve">  电话：</w:t>
      </w:r>
      <w:r>
        <w:rPr>
          <w:rFonts w:hint="eastAsia" w:ascii="Times New Roman" w:hAnsi="Times New Roman" w:cs="Times New Roman"/>
          <w:bCs/>
          <w:color w:val="auto"/>
          <w:sz w:val="28"/>
          <w:highlight w:val="none"/>
          <w:u w:val="single"/>
          <w:lang w:eastAsia="zh-CN"/>
        </w:rPr>
        <w:t>0576-87229474</w:t>
      </w:r>
    </w:p>
    <w:p>
      <w:pPr>
        <w:spacing w:line="480" w:lineRule="auto"/>
        <w:ind w:firstLine="1120" w:firstLineChars="400"/>
        <w:rPr>
          <w:rFonts w:hint="default" w:ascii="Times New Roman" w:hAnsi="Times New Roman" w:cs="Times New Roman"/>
          <w:bCs/>
          <w:color w:val="auto"/>
          <w:sz w:val="28"/>
          <w:highlight w:val="none"/>
          <w:u w:val="singl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pStyle w:val="2"/>
        <w:rPr>
          <w:rFonts w:hint="default" w:ascii="Times New Roman" w:hAnsi="Times New Roman" w:cs="Times New Roman"/>
          <w:color w:val="auto"/>
          <w:highlight w:val="none"/>
        </w:rPr>
      </w:pPr>
    </w:p>
    <w:p>
      <w:pPr>
        <w:spacing w:line="480" w:lineRule="auto"/>
        <w:ind w:firstLine="1120" w:firstLineChars="400"/>
        <w:rPr>
          <w:rFonts w:hint="default" w:ascii="Times New Roman" w:hAnsi="Times New Roman" w:cs="Times New Roman"/>
          <w:bCs/>
          <w:color w:val="auto"/>
          <w:sz w:val="28"/>
          <w:highlight w:val="none"/>
          <w:u w:val="single"/>
        </w:rPr>
      </w:pPr>
    </w:p>
    <w:p>
      <w:pPr>
        <w:spacing w:line="480" w:lineRule="auto"/>
        <w:jc w:val="center"/>
        <w:rPr>
          <w:rFonts w:hint="default" w:ascii="Times New Roman" w:hAnsi="Times New Roman" w:cs="Times New Roman"/>
          <w:bCs/>
          <w:color w:val="auto"/>
          <w:sz w:val="28"/>
          <w:highlight w:val="none"/>
          <w:u w:val="singl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bCs/>
          <w:color w:val="auto"/>
          <w:sz w:val="28"/>
          <w:highlight w:val="none"/>
        </w:rPr>
        <w:t>二O</w:t>
      </w:r>
      <w:r>
        <w:rPr>
          <w:rFonts w:hint="eastAsia" w:ascii="Times New Roman" w:hAnsi="Times New Roman" w:cs="Times New Roman"/>
          <w:bCs/>
          <w:color w:val="auto"/>
          <w:sz w:val="28"/>
          <w:highlight w:val="none"/>
          <w:lang w:eastAsia="zh-CN"/>
        </w:rPr>
        <w:t>二</w:t>
      </w:r>
      <w:r>
        <w:rPr>
          <w:rFonts w:hint="default" w:ascii="Times New Roman" w:hAnsi="Times New Roman" w:cs="Times New Roman"/>
          <w:bCs/>
          <w:color w:val="auto"/>
          <w:sz w:val="28"/>
          <w:highlight w:val="none"/>
        </w:rPr>
        <w:t>O年</w:t>
      </w:r>
      <w:r>
        <w:rPr>
          <w:rFonts w:hint="eastAsia" w:ascii="Times New Roman" w:hAnsi="Times New Roman" w:cs="Times New Roman"/>
          <w:bCs/>
          <w:color w:val="auto"/>
          <w:sz w:val="28"/>
          <w:highlight w:val="none"/>
          <w:lang w:eastAsia="zh-CN"/>
        </w:rPr>
        <w:t>四</w:t>
      </w:r>
      <w:r>
        <w:rPr>
          <w:rFonts w:hint="default" w:ascii="Times New Roman" w:hAnsi="Times New Roman" w:cs="Times New Roman"/>
          <w:bCs/>
          <w:color w:val="auto"/>
          <w:sz w:val="28"/>
          <w:highlight w:val="none"/>
        </w:rPr>
        <w:t>月</w:t>
      </w:r>
    </w:p>
    <w:p>
      <w:pPr>
        <w:pageBreakBefore/>
        <w:spacing w:after="120" w:afterLines="50" w:line="360" w:lineRule="auto"/>
        <w:jc w:val="center"/>
        <w:rPr>
          <w:rFonts w:hint="default" w:ascii="Times New Roman" w:hAnsi="Times New Roman" w:eastAsia="黑体" w:cs="Times New Roman"/>
          <w:b/>
          <w:color w:val="auto"/>
          <w:sz w:val="44"/>
          <w:highlight w:val="none"/>
        </w:rPr>
      </w:pPr>
      <w:bookmarkStart w:id="5" w:name="_Toc22435_WPSOffice_Type1"/>
      <w:r>
        <w:rPr>
          <w:rFonts w:hint="default" w:ascii="Times New Roman" w:hAnsi="Times New Roman" w:eastAsia="黑体" w:cs="Times New Roman"/>
          <w:b/>
          <w:color w:val="auto"/>
          <w:sz w:val="44"/>
          <w:highlight w:val="none"/>
        </w:rPr>
        <w:t>目    录</w:t>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_Toc20039_WPSOffice_Level1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第一章  招标公告</w:t>
      </w:r>
      <w:r>
        <w:rPr>
          <w:rFonts w:hint="default" w:ascii="Times New Roman" w:hAnsi="Times New Roman" w:cs="Times New Roman"/>
          <w:color w:val="auto"/>
          <w:sz w:val="21"/>
          <w:szCs w:val="21"/>
          <w:highlight w:val="none"/>
        </w:rPr>
        <w:tab/>
      </w:r>
      <w:bookmarkStart w:id="6" w:name="_Toc20039_WPSOffice_Level1Page"/>
      <w:r>
        <w:rPr>
          <w:rFonts w:hint="default" w:ascii="Times New Roman" w:hAnsi="Times New Roman" w:cs="Times New Roman"/>
          <w:color w:val="auto"/>
          <w:sz w:val="21"/>
          <w:szCs w:val="21"/>
          <w:highlight w:val="none"/>
        </w:rPr>
        <w:t>2</w:t>
      </w:r>
      <w:bookmarkEnd w:id="6"/>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_Toc22001_WPSOffice_Level1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第二章  投标人须知</w:t>
      </w:r>
      <w:r>
        <w:rPr>
          <w:rFonts w:hint="default" w:ascii="Times New Roman" w:hAnsi="Times New Roman" w:cs="Times New Roman"/>
          <w:color w:val="auto"/>
          <w:sz w:val="21"/>
          <w:szCs w:val="21"/>
          <w:highlight w:val="none"/>
        </w:rPr>
        <w:tab/>
      </w:r>
      <w:bookmarkStart w:id="7" w:name="_Toc22001_WPSOffice_Level1Page"/>
      <w:r>
        <w:rPr>
          <w:rFonts w:hint="default" w:ascii="Times New Roman" w:hAnsi="Times New Roman" w:cs="Times New Roman"/>
          <w:color w:val="auto"/>
          <w:sz w:val="21"/>
          <w:szCs w:val="21"/>
          <w:highlight w:val="none"/>
        </w:rPr>
        <w:t>4</w:t>
      </w:r>
      <w:bookmarkEnd w:id="7"/>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_Toc32673_WPSOffice_Level1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第三章  评标办法</w:t>
      </w:r>
      <w:r>
        <w:rPr>
          <w:rFonts w:hint="default" w:ascii="Times New Roman" w:hAnsi="Times New Roman" w:cs="Times New Roman"/>
          <w:color w:val="auto"/>
          <w:sz w:val="21"/>
          <w:szCs w:val="21"/>
          <w:highlight w:val="none"/>
        </w:rPr>
        <w:tab/>
      </w:r>
      <w:bookmarkStart w:id="8" w:name="_Toc32673_WPSOffice_Level1Page"/>
      <w:r>
        <w:rPr>
          <w:rFonts w:hint="default" w:ascii="Times New Roman" w:hAnsi="Times New Roman" w:cs="Times New Roman"/>
          <w:color w:val="auto"/>
          <w:sz w:val="21"/>
          <w:szCs w:val="21"/>
          <w:highlight w:val="none"/>
        </w:rPr>
        <w:t>1</w:t>
      </w:r>
      <w:bookmarkEnd w:id="8"/>
      <w:r>
        <w:rPr>
          <w:rFonts w:hint="default" w:ascii="Times New Roman" w:hAnsi="Times New Roman" w:cs="Times New Roman"/>
          <w:color w:val="auto"/>
          <w:sz w:val="21"/>
          <w:szCs w:val="21"/>
          <w:highlight w:val="none"/>
        </w:rPr>
        <w:t>4</w:t>
      </w:r>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_Toc6076_WPSOffice_Level1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第四章  合同条款</w:t>
      </w:r>
      <w:r>
        <w:rPr>
          <w:rFonts w:hint="default" w:ascii="Times New Roman" w:hAnsi="Times New Roman" w:cs="Times New Roman"/>
          <w:color w:val="auto"/>
          <w:sz w:val="21"/>
          <w:szCs w:val="21"/>
          <w:highlight w:val="none"/>
        </w:rPr>
        <w:tab/>
      </w:r>
      <w:bookmarkStart w:id="9" w:name="_Toc6076_WPSOffice_Level1Page"/>
      <w:r>
        <w:rPr>
          <w:rFonts w:hint="default" w:ascii="Times New Roman" w:hAnsi="Times New Roman" w:cs="Times New Roman"/>
          <w:color w:val="auto"/>
          <w:sz w:val="21"/>
          <w:szCs w:val="21"/>
          <w:highlight w:val="none"/>
        </w:rPr>
        <w:t>1</w:t>
      </w:r>
      <w:bookmarkEnd w:id="9"/>
      <w:r>
        <w:rPr>
          <w:rFonts w:hint="default" w:ascii="Times New Roman" w:hAnsi="Times New Roman" w:cs="Times New Roman"/>
          <w:color w:val="auto"/>
          <w:sz w:val="21"/>
          <w:szCs w:val="21"/>
          <w:highlight w:val="none"/>
        </w:rPr>
        <w:t>6</w:t>
      </w:r>
      <w:r>
        <w:rPr>
          <w:rFonts w:hint="default" w:ascii="Times New Roman" w:hAnsi="Times New Roman" w:cs="Times New Roman"/>
          <w:color w:val="auto"/>
          <w:sz w:val="21"/>
          <w:szCs w:val="21"/>
          <w:highlight w:val="none"/>
        </w:rPr>
        <w:fldChar w:fldCharType="end"/>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_Toc19031_WPSOffice_Level1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第五章  服务要求</w:t>
      </w:r>
      <w:r>
        <w:rPr>
          <w:rFonts w:hint="default" w:ascii="Times New Roman" w:hAnsi="Times New Roman" w:cs="Times New Roman"/>
          <w:color w:val="auto"/>
          <w:sz w:val="21"/>
          <w:szCs w:val="21"/>
          <w:highlight w:val="none"/>
        </w:rPr>
        <w:tab/>
      </w:r>
      <w:r>
        <w:rPr>
          <w:rFonts w:hint="default" w:ascii="Times New Roman" w:hAnsi="Times New Roman" w:cs="Times New Roman"/>
          <w:color w:val="auto"/>
          <w:sz w:val="21"/>
          <w:szCs w:val="21"/>
          <w:highlight w:val="none"/>
        </w:rPr>
        <w:t>1</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8</w:t>
      </w:r>
    </w:p>
    <w:p>
      <w:pPr>
        <w:pStyle w:val="45"/>
        <w:tabs>
          <w:tab w:val="right" w:leader="dot" w:pos="8504"/>
        </w:tabs>
        <w:spacing w:line="64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HYPERLINK \l _Toc21104_WPSOffice_Level1 </w:instrText>
      </w:r>
      <w:r>
        <w:rPr>
          <w:rFonts w:hint="default" w:ascii="Times New Roman" w:hAnsi="Times New Roman" w:cs="Times New Roman"/>
          <w:color w:val="auto"/>
          <w:sz w:val="21"/>
          <w:szCs w:val="21"/>
          <w:highlight w:val="none"/>
        </w:rPr>
        <w:fldChar w:fldCharType="separate"/>
      </w:r>
      <w:r>
        <w:rPr>
          <w:rFonts w:hint="default" w:ascii="Times New Roman" w:hAnsi="Times New Roman" w:eastAsia="黑体" w:cs="Times New Roman"/>
          <w:color w:val="auto"/>
          <w:sz w:val="21"/>
          <w:szCs w:val="21"/>
          <w:highlight w:val="none"/>
        </w:rPr>
        <w:t>第六章  投标文件格式</w:t>
      </w:r>
      <w:r>
        <w:rPr>
          <w:rFonts w:hint="default" w:ascii="Times New Roman" w:hAnsi="Times New Roman" w:cs="Times New Roman"/>
          <w:color w:val="auto"/>
          <w:sz w:val="21"/>
          <w:szCs w:val="21"/>
          <w:highlight w:val="none"/>
        </w:rPr>
        <w:tab/>
      </w:r>
      <w:bookmarkStart w:id="10" w:name="_Toc21104_WPSOffice_Level1Page"/>
      <w:r>
        <w:rPr>
          <w:rFonts w:hint="default" w:ascii="Times New Roman" w:hAnsi="Times New Roman" w:cs="Times New Roman"/>
          <w:color w:val="auto"/>
          <w:sz w:val="21"/>
          <w:szCs w:val="21"/>
          <w:highlight w:val="none"/>
        </w:rPr>
        <w:t>2</w:t>
      </w:r>
      <w:bookmarkEnd w:id="10"/>
      <w:r>
        <w:rPr>
          <w:rFonts w:hint="default" w:ascii="Times New Roman" w:hAnsi="Times New Roman" w:cs="Times New Roman"/>
          <w:color w:val="auto"/>
          <w:sz w:val="21"/>
          <w:szCs w:val="21"/>
          <w:highlight w:val="none"/>
        </w:rPr>
        <w:t>3</w:t>
      </w:r>
      <w:r>
        <w:rPr>
          <w:rFonts w:hint="default" w:ascii="Times New Roman" w:hAnsi="Times New Roman" w:cs="Times New Roman"/>
          <w:color w:val="auto"/>
          <w:sz w:val="21"/>
          <w:szCs w:val="21"/>
          <w:highlight w:val="none"/>
        </w:rPr>
        <w:fldChar w:fldCharType="end"/>
      </w:r>
    </w:p>
    <w:bookmarkEnd w:id="5"/>
    <w:p>
      <w:pPr>
        <w:pStyle w:val="3"/>
        <w:numPr>
          <w:ilvl w:val="0"/>
          <w:numId w:val="0"/>
        </w:numPr>
        <w:spacing w:line="440" w:lineRule="exact"/>
        <w:jc w:val="center"/>
        <w:rPr>
          <w:rFonts w:hint="default" w:ascii="Times New Roman" w:hAnsi="Times New Roman" w:eastAsia="宋体" w:cs="Times New Roman"/>
          <w:bCs/>
          <w:caps/>
          <w:smallCaps/>
          <w:color w:val="auto"/>
          <w:sz w:val="21"/>
          <w:szCs w:val="21"/>
          <w:highlight w:val="none"/>
        </w:rPr>
      </w:pPr>
    </w:p>
    <w:p>
      <w:pPr>
        <w:pStyle w:val="3"/>
        <w:numPr>
          <w:ilvl w:val="0"/>
          <w:numId w:val="0"/>
        </w:numPr>
        <w:tabs>
          <w:tab w:val="left" w:pos="0"/>
          <w:tab w:val="clear" w:pos="4592"/>
        </w:tabs>
        <w:spacing w:before="0" w:after="0" w:line="760" w:lineRule="exact"/>
        <w:jc w:val="center"/>
        <w:rPr>
          <w:rFonts w:hint="default" w:ascii="Times New Roman" w:hAnsi="Times New Roman" w:cs="Times New Roman"/>
          <w:color w:val="auto"/>
          <w:szCs w:val="22"/>
          <w:highlight w:val="none"/>
          <w:lang w:eastAsia="zh-CN"/>
        </w:rPr>
      </w:pPr>
      <w:r>
        <w:rPr>
          <w:rFonts w:hint="default" w:ascii="Times New Roman" w:hAnsi="Times New Roman" w:cs="Times New Roman"/>
          <w:bCs/>
          <w:caps/>
          <w:smallCaps/>
          <w:color w:val="auto"/>
          <w:szCs w:val="21"/>
          <w:highlight w:val="none"/>
        </w:rPr>
        <w:br w:type="page"/>
      </w:r>
      <w:bookmarkStart w:id="11" w:name="_Toc29735"/>
      <w:bookmarkStart w:id="12" w:name="_Toc14202_WPSOffice_Level1"/>
      <w:bookmarkStart w:id="13" w:name="_Toc20039_WPSOffice_Level1"/>
      <w:r>
        <w:rPr>
          <w:rFonts w:hint="default" w:ascii="Times New Roman" w:hAnsi="Times New Roman" w:cs="Times New Roman"/>
          <w:bCs/>
          <w:caps/>
          <w:smallCaps/>
          <w:color w:val="auto"/>
          <w:szCs w:val="21"/>
          <w:highlight w:val="none"/>
          <w:lang w:eastAsia="zh-CN"/>
        </w:rPr>
        <w:t>第一章</w:t>
      </w:r>
      <w:bookmarkEnd w:id="11"/>
      <w:r>
        <w:rPr>
          <w:rFonts w:hint="default" w:ascii="Times New Roman" w:hAnsi="Times New Roman" w:cs="Times New Roman"/>
          <w:bCs/>
          <w:caps/>
          <w:smallCaps/>
          <w:color w:val="auto"/>
          <w:szCs w:val="21"/>
          <w:highlight w:val="none"/>
          <w:lang w:val="en-US" w:eastAsia="zh-CN"/>
        </w:rPr>
        <w:t xml:space="preserve">  </w:t>
      </w:r>
      <w:r>
        <w:rPr>
          <w:rFonts w:hint="default" w:ascii="Times New Roman" w:hAnsi="Times New Roman" w:cs="Times New Roman"/>
          <w:color w:val="auto"/>
          <w:szCs w:val="22"/>
          <w:highlight w:val="none"/>
          <w:lang w:eastAsia="zh-CN"/>
        </w:rPr>
        <w:t>招标公告</w:t>
      </w:r>
      <w:bookmarkEnd w:id="12"/>
      <w:bookmarkEnd w:id="13"/>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4" w:name="_Toc13216"/>
      <w:bookmarkStart w:id="15" w:name="_Toc4788"/>
      <w:bookmarkStart w:id="16" w:name="_Toc10495"/>
      <w:r>
        <w:rPr>
          <w:rFonts w:hint="default" w:ascii="Times New Roman" w:hAnsi="Times New Roman" w:cs="Times New Roman"/>
          <w:color w:val="auto"/>
          <w:sz w:val="21"/>
          <w:szCs w:val="21"/>
          <w:highlight w:val="none"/>
        </w:rPr>
        <w:t>1.招标条件</w:t>
      </w:r>
      <w:bookmarkEnd w:id="14"/>
      <w:bookmarkEnd w:id="15"/>
      <w:bookmarkEnd w:id="16"/>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本招标项目</w:t>
      </w:r>
      <w:r>
        <w:rPr>
          <w:rFonts w:hint="eastAsia" w:ascii="Times New Roman" w:hAnsi="Times New Roman" w:cs="Times New Roman"/>
          <w:color w:val="auto"/>
          <w:kern w:val="21"/>
          <w:sz w:val="21"/>
          <w:szCs w:val="21"/>
          <w:highlight w:val="none"/>
          <w:u w:val="single"/>
          <w:lang w:eastAsia="zh-CN"/>
        </w:rPr>
        <w:t>2020年芦浦镇创建国家卫生镇病媒生物防治项目</w:t>
      </w:r>
      <w:r>
        <w:rPr>
          <w:rFonts w:hint="default" w:ascii="Times New Roman" w:hAnsi="Times New Roman" w:cs="Times New Roman"/>
          <w:color w:val="auto"/>
          <w:kern w:val="21"/>
          <w:sz w:val="21"/>
          <w:szCs w:val="21"/>
          <w:highlight w:val="none"/>
        </w:rPr>
        <w:t>已由相关部门批准实施，招标人（项目业主）为</w:t>
      </w:r>
      <w:r>
        <w:rPr>
          <w:rFonts w:hint="eastAsia" w:ascii="Times New Roman" w:hAnsi="Times New Roman" w:cs="Times New Roman"/>
          <w:color w:val="auto"/>
          <w:kern w:val="21"/>
          <w:sz w:val="21"/>
          <w:szCs w:val="21"/>
          <w:highlight w:val="none"/>
          <w:lang w:eastAsia="zh-CN"/>
        </w:rPr>
        <w:t>玉环市芦浦镇人民政府</w:t>
      </w:r>
      <w:r>
        <w:rPr>
          <w:rFonts w:hint="default" w:ascii="Times New Roman" w:hAnsi="Times New Roman" w:cs="Times New Roman"/>
          <w:color w:val="auto"/>
          <w:kern w:val="21"/>
          <w:sz w:val="21"/>
          <w:szCs w:val="21"/>
          <w:highlight w:val="none"/>
        </w:rPr>
        <w:t>，建设资金来自财政，委托</w:t>
      </w:r>
      <w:r>
        <w:rPr>
          <w:rFonts w:hint="eastAsia" w:ascii="Times New Roman" w:hAnsi="Times New Roman" w:cs="Times New Roman"/>
          <w:color w:val="auto"/>
          <w:kern w:val="21"/>
          <w:sz w:val="21"/>
          <w:szCs w:val="21"/>
          <w:highlight w:val="none"/>
          <w:lang w:eastAsia="zh-CN"/>
        </w:rPr>
        <w:t>台州恒信工程造价咨询有限公司</w:t>
      </w:r>
      <w:r>
        <w:rPr>
          <w:rFonts w:hint="default" w:ascii="Times New Roman" w:hAnsi="Times New Roman" w:cs="Times New Roman"/>
          <w:color w:val="auto"/>
          <w:kern w:val="21"/>
          <w:sz w:val="21"/>
          <w:szCs w:val="21"/>
          <w:highlight w:val="none"/>
        </w:rPr>
        <w:t>进行招标代理。项目已具备招标条件，现对该项目进行公开招标。</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2.项目概况与招标范围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2.1 项目概况：</w:t>
      </w:r>
      <w:r>
        <w:rPr>
          <w:rFonts w:hint="eastAsia" w:ascii="Times New Roman" w:hAnsi="Times New Roman" w:cs="Times New Roman"/>
          <w:color w:val="auto"/>
          <w:kern w:val="21"/>
          <w:sz w:val="21"/>
          <w:szCs w:val="21"/>
          <w:highlight w:val="none"/>
          <w:lang w:eastAsia="zh-CN"/>
        </w:rPr>
        <w:t>芦浦镇</w:t>
      </w:r>
      <w:r>
        <w:rPr>
          <w:rFonts w:hint="eastAsia" w:ascii="Times New Roman" w:hAnsi="Times New Roman" w:cs="Times New Roman"/>
          <w:color w:val="auto"/>
          <w:kern w:val="21"/>
          <w:sz w:val="21"/>
          <w:szCs w:val="21"/>
          <w:highlight w:val="none"/>
          <w:lang w:val="en-US" w:eastAsia="zh-CN"/>
        </w:rPr>
        <w:t>19.67</w:t>
      </w:r>
      <w:r>
        <w:rPr>
          <w:rFonts w:hint="default" w:ascii="Times New Roman" w:hAnsi="Times New Roman" w:cs="Times New Roman"/>
          <w:color w:val="auto"/>
          <w:kern w:val="21"/>
          <w:sz w:val="21"/>
          <w:szCs w:val="21"/>
          <w:highlight w:val="none"/>
          <w:lang w:eastAsia="zh-CN"/>
        </w:rPr>
        <w:t>平方公里</w:t>
      </w:r>
      <w:r>
        <w:rPr>
          <w:rFonts w:hint="default" w:ascii="Times New Roman" w:hAnsi="Times New Roman" w:cs="Times New Roman"/>
          <w:color w:val="auto"/>
          <w:kern w:val="21"/>
          <w:sz w:val="21"/>
          <w:szCs w:val="21"/>
          <w:highlight w:val="none"/>
        </w:rPr>
        <w:t>公共外环境投药及消杀。</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2.2 招标范围：</w:t>
      </w:r>
    </w:p>
    <w:p>
      <w:pPr>
        <w:pStyle w:val="35"/>
        <w:spacing w:before="0" w:beforeAutospacing="0" w:after="0" w:afterAutospacing="0" w:line="560" w:lineRule="exact"/>
        <w:ind w:firstLine="420" w:firstLineChars="200"/>
        <w:rPr>
          <w:rFonts w:hint="eastAsia" w:ascii="Times New Roman" w:hAnsi="Times New Roman" w:eastAsia="宋体" w:cs="Times New Roman"/>
          <w:color w:val="auto"/>
          <w:kern w:val="21"/>
          <w:sz w:val="21"/>
          <w:szCs w:val="21"/>
          <w:highlight w:val="none"/>
          <w:lang w:eastAsia="zh-CN"/>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1、按照</w:t>
      </w:r>
      <w:r>
        <w:rPr>
          <w:rFonts w:hint="eastAsia" w:ascii="Times New Roman" w:hAnsi="Times New Roman" w:cs="Times New Roman"/>
          <w:color w:val="auto"/>
          <w:kern w:val="21"/>
          <w:sz w:val="21"/>
          <w:szCs w:val="21"/>
          <w:highlight w:val="none"/>
          <w:lang w:eastAsia="zh-CN"/>
        </w:rPr>
        <w:t>芦浦</w:t>
      </w:r>
      <w:r>
        <w:rPr>
          <w:rFonts w:hint="default" w:ascii="Times New Roman" w:hAnsi="Times New Roman" w:cs="Times New Roman"/>
          <w:color w:val="auto"/>
          <w:kern w:val="21"/>
          <w:sz w:val="21"/>
          <w:szCs w:val="21"/>
          <w:highlight w:val="none"/>
        </w:rPr>
        <w:t>镇</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病媒生物防制</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工作基本要求来操作，按照</w:t>
      </w:r>
      <w:r>
        <w:rPr>
          <w:rFonts w:hint="eastAsia" w:ascii="Times New Roman" w:hAnsi="Times New Roman" w:cs="Times New Roman"/>
          <w:color w:val="auto"/>
          <w:kern w:val="21"/>
          <w:sz w:val="21"/>
          <w:szCs w:val="21"/>
          <w:highlight w:val="none"/>
          <w:lang w:eastAsia="zh-CN"/>
        </w:rPr>
        <w:t>芦浦</w:t>
      </w:r>
      <w:r>
        <w:rPr>
          <w:rFonts w:hint="default" w:ascii="Times New Roman" w:hAnsi="Times New Roman" w:cs="Times New Roman"/>
          <w:color w:val="auto"/>
          <w:kern w:val="21"/>
          <w:sz w:val="21"/>
          <w:szCs w:val="21"/>
          <w:highlight w:val="none"/>
        </w:rPr>
        <w:t>“除四害”工作基本要求来操作，总面积</w:t>
      </w:r>
      <w:r>
        <w:rPr>
          <w:rFonts w:hint="eastAsia" w:ascii="Times New Roman" w:hAnsi="Times New Roman" w:cs="Times New Roman"/>
          <w:color w:val="auto"/>
          <w:kern w:val="21"/>
          <w:sz w:val="21"/>
          <w:szCs w:val="21"/>
          <w:highlight w:val="none"/>
          <w:lang w:val="en-US" w:eastAsia="zh-CN"/>
        </w:rPr>
        <w:t>19.67</w:t>
      </w:r>
      <w:r>
        <w:rPr>
          <w:rFonts w:hint="default" w:ascii="Times New Roman" w:hAnsi="Times New Roman" w:cs="Times New Roman"/>
          <w:color w:val="auto"/>
          <w:kern w:val="21"/>
          <w:sz w:val="21"/>
          <w:szCs w:val="21"/>
          <w:highlight w:val="none"/>
        </w:rPr>
        <w:t>平方公里，行政村</w:t>
      </w:r>
      <w:r>
        <w:rPr>
          <w:rFonts w:hint="eastAsia" w:ascii="Times New Roman" w:hAnsi="Times New Roman" w:cs="Times New Roman"/>
          <w:color w:val="auto"/>
          <w:kern w:val="21"/>
          <w:sz w:val="21"/>
          <w:szCs w:val="21"/>
          <w:highlight w:val="none"/>
          <w:lang w:val="en-US" w:eastAsia="zh-CN"/>
        </w:rPr>
        <w:t>12</w:t>
      </w:r>
      <w:r>
        <w:rPr>
          <w:rFonts w:hint="default" w:ascii="Times New Roman" w:hAnsi="Times New Roman" w:cs="Times New Roman"/>
          <w:color w:val="auto"/>
          <w:kern w:val="21"/>
          <w:sz w:val="21"/>
          <w:szCs w:val="21"/>
          <w:highlight w:val="none"/>
        </w:rPr>
        <w:t>个（</w:t>
      </w:r>
      <w:r>
        <w:rPr>
          <w:rFonts w:hint="eastAsia" w:ascii="Times New Roman" w:hAnsi="Times New Roman" w:cs="Times New Roman"/>
          <w:color w:val="auto"/>
          <w:kern w:val="21"/>
          <w:sz w:val="21"/>
          <w:szCs w:val="21"/>
          <w:highlight w:val="none"/>
          <w:lang w:val="en-US" w:eastAsia="zh-CN"/>
        </w:rPr>
        <w:t>6000</w:t>
      </w:r>
      <w:r>
        <w:rPr>
          <w:rFonts w:hint="default" w:ascii="Times New Roman" w:hAnsi="Times New Roman" w:cs="Times New Roman"/>
          <w:color w:val="auto"/>
          <w:kern w:val="21"/>
          <w:sz w:val="21"/>
          <w:szCs w:val="21"/>
          <w:highlight w:val="none"/>
        </w:rPr>
        <w:t>户），</w:t>
      </w:r>
      <w:r>
        <w:rPr>
          <w:rFonts w:hint="eastAsia" w:ascii="Times New Roman" w:hAnsi="Times New Roman" w:cs="Times New Roman"/>
          <w:color w:val="auto"/>
          <w:kern w:val="21"/>
          <w:sz w:val="21"/>
          <w:szCs w:val="21"/>
          <w:highlight w:val="none"/>
          <w:lang w:val="en-US" w:eastAsia="zh-CN"/>
        </w:rPr>
        <w:t>公园5座、</w:t>
      </w:r>
      <w:r>
        <w:rPr>
          <w:rFonts w:hint="default" w:ascii="Times New Roman" w:hAnsi="Times New Roman" w:cs="Times New Roman"/>
          <w:color w:val="auto"/>
          <w:kern w:val="21"/>
          <w:sz w:val="21"/>
          <w:szCs w:val="21"/>
          <w:highlight w:val="none"/>
        </w:rPr>
        <w:t>公</w:t>
      </w:r>
      <w:r>
        <w:rPr>
          <w:rFonts w:hint="eastAsia" w:ascii="Times New Roman" w:hAnsi="Times New Roman" w:cs="Times New Roman"/>
          <w:color w:val="auto"/>
          <w:kern w:val="21"/>
          <w:sz w:val="21"/>
          <w:szCs w:val="21"/>
          <w:highlight w:val="none"/>
          <w:lang w:eastAsia="zh-CN"/>
        </w:rPr>
        <w:t>厕</w:t>
      </w:r>
      <w:r>
        <w:rPr>
          <w:rFonts w:hint="eastAsia" w:ascii="Times New Roman" w:hAnsi="Times New Roman" w:cs="Times New Roman"/>
          <w:color w:val="auto"/>
          <w:kern w:val="21"/>
          <w:sz w:val="21"/>
          <w:szCs w:val="21"/>
          <w:highlight w:val="none"/>
          <w:lang w:val="en-US" w:eastAsia="zh-CN"/>
        </w:rPr>
        <w:t>42</w:t>
      </w:r>
      <w:r>
        <w:rPr>
          <w:rFonts w:hint="default" w:ascii="Times New Roman" w:hAnsi="Times New Roman" w:cs="Times New Roman"/>
          <w:color w:val="auto"/>
          <w:kern w:val="21"/>
          <w:sz w:val="21"/>
          <w:szCs w:val="21"/>
          <w:highlight w:val="none"/>
        </w:rPr>
        <w:t>座</w:t>
      </w:r>
      <w:r>
        <w:rPr>
          <w:rFonts w:hint="eastAsia" w:ascii="Times New Roman" w:hAnsi="Times New Roman" w:cs="Times New Roman"/>
          <w:color w:val="auto"/>
          <w:kern w:val="21"/>
          <w:sz w:val="21"/>
          <w:szCs w:val="21"/>
          <w:highlight w:val="none"/>
          <w:lang w:eastAsia="zh-CN"/>
        </w:rPr>
        <w:t>、</w:t>
      </w:r>
      <w:r>
        <w:rPr>
          <w:rFonts w:hint="default" w:ascii="Times New Roman" w:hAnsi="Times New Roman" w:cs="Times New Roman"/>
          <w:color w:val="auto"/>
          <w:kern w:val="21"/>
          <w:sz w:val="21"/>
          <w:szCs w:val="21"/>
          <w:highlight w:val="none"/>
        </w:rPr>
        <w:t>店面</w:t>
      </w:r>
      <w:r>
        <w:rPr>
          <w:rFonts w:hint="eastAsia" w:ascii="Times New Roman" w:hAnsi="Times New Roman" w:cs="Times New Roman"/>
          <w:color w:val="auto"/>
          <w:kern w:val="21"/>
          <w:sz w:val="21"/>
          <w:szCs w:val="21"/>
          <w:highlight w:val="none"/>
          <w:lang w:val="en-US" w:eastAsia="zh-CN"/>
        </w:rPr>
        <w:t>580余</w:t>
      </w:r>
      <w:r>
        <w:rPr>
          <w:rFonts w:hint="eastAsia" w:ascii="Times New Roman" w:hAnsi="Times New Roman" w:cs="Times New Roman"/>
          <w:color w:val="auto"/>
          <w:kern w:val="21"/>
          <w:sz w:val="21"/>
          <w:szCs w:val="21"/>
          <w:highlight w:val="none"/>
          <w:lang w:eastAsia="zh-CN"/>
        </w:rPr>
        <w:t>家</w:t>
      </w:r>
      <w:r>
        <w:rPr>
          <w:rFonts w:hint="default" w:ascii="Times New Roman" w:hAnsi="Times New Roman" w:cs="Times New Roman"/>
          <w:color w:val="auto"/>
          <w:kern w:val="21"/>
          <w:sz w:val="21"/>
          <w:szCs w:val="21"/>
          <w:highlight w:val="none"/>
        </w:rPr>
        <w:t>、学校</w:t>
      </w:r>
      <w:r>
        <w:rPr>
          <w:rFonts w:hint="eastAsia" w:ascii="Times New Roman" w:hAnsi="Times New Roman" w:cs="Times New Roman"/>
          <w:color w:val="auto"/>
          <w:kern w:val="21"/>
          <w:sz w:val="21"/>
          <w:szCs w:val="21"/>
          <w:highlight w:val="none"/>
          <w:lang w:val="en-US" w:eastAsia="zh-CN"/>
        </w:rPr>
        <w:t>4</w:t>
      </w:r>
      <w:r>
        <w:rPr>
          <w:rFonts w:hint="default" w:ascii="Times New Roman" w:hAnsi="Times New Roman" w:cs="Times New Roman"/>
          <w:color w:val="auto"/>
          <w:kern w:val="21"/>
          <w:sz w:val="21"/>
          <w:szCs w:val="21"/>
          <w:highlight w:val="none"/>
        </w:rPr>
        <w:t>所、拉圾中转站</w:t>
      </w:r>
      <w:r>
        <w:rPr>
          <w:rFonts w:hint="eastAsia" w:ascii="Times New Roman" w:hAnsi="Times New Roman" w:cs="Times New Roman"/>
          <w:color w:val="auto"/>
          <w:kern w:val="21"/>
          <w:sz w:val="21"/>
          <w:szCs w:val="21"/>
          <w:highlight w:val="none"/>
          <w:lang w:val="en-US" w:eastAsia="zh-CN"/>
        </w:rPr>
        <w:t>1</w:t>
      </w:r>
      <w:r>
        <w:rPr>
          <w:rFonts w:hint="default" w:ascii="Times New Roman" w:hAnsi="Times New Roman" w:cs="Times New Roman"/>
          <w:color w:val="auto"/>
          <w:kern w:val="21"/>
          <w:sz w:val="21"/>
          <w:szCs w:val="21"/>
          <w:highlight w:val="none"/>
        </w:rPr>
        <w:t>个、菜场</w:t>
      </w:r>
      <w:r>
        <w:rPr>
          <w:rFonts w:hint="eastAsia" w:ascii="Times New Roman" w:hAnsi="Times New Roman" w:cs="Times New Roman"/>
          <w:color w:val="auto"/>
          <w:kern w:val="21"/>
          <w:sz w:val="21"/>
          <w:szCs w:val="21"/>
          <w:highlight w:val="none"/>
          <w:lang w:val="en-US" w:eastAsia="zh-CN"/>
        </w:rPr>
        <w:t>3</w:t>
      </w:r>
      <w:r>
        <w:rPr>
          <w:rFonts w:hint="default" w:ascii="Times New Roman" w:hAnsi="Times New Roman" w:cs="Times New Roman"/>
          <w:color w:val="auto"/>
          <w:kern w:val="21"/>
          <w:sz w:val="21"/>
          <w:szCs w:val="21"/>
          <w:highlight w:val="none"/>
        </w:rPr>
        <w:t>个、车站1个、</w:t>
      </w:r>
      <w:r>
        <w:rPr>
          <w:rFonts w:hint="eastAsia" w:ascii="Times New Roman" w:hAnsi="Times New Roman" w:cs="Times New Roman"/>
          <w:color w:val="auto"/>
          <w:kern w:val="21"/>
          <w:sz w:val="21"/>
          <w:szCs w:val="21"/>
          <w:highlight w:val="none"/>
          <w:lang w:val="en-US" w:eastAsia="zh-CN"/>
        </w:rPr>
        <w:t>健康步道3条、雨污水</w:t>
      </w:r>
      <w:r>
        <w:rPr>
          <w:rFonts w:hint="eastAsia" w:ascii="Times New Roman" w:hAnsi="Times New Roman" w:cs="Times New Roman"/>
          <w:color w:val="auto"/>
          <w:kern w:val="21"/>
          <w:sz w:val="21"/>
          <w:szCs w:val="21"/>
          <w:highlight w:val="none"/>
          <w:lang w:eastAsia="zh-CN"/>
        </w:rPr>
        <w:t>窨井</w:t>
      </w:r>
      <w:r>
        <w:rPr>
          <w:rFonts w:hint="eastAsia" w:ascii="Times New Roman" w:hAnsi="Times New Roman" w:cs="Times New Roman"/>
          <w:color w:val="auto"/>
          <w:kern w:val="21"/>
          <w:sz w:val="21"/>
          <w:szCs w:val="21"/>
          <w:highlight w:val="none"/>
          <w:lang w:val="en-US" w:eastAsia="zh-CN"/>
        </w:rPr>
        <w:t>1800</w:t>
      </w:r>
      <w:r>
        <w:rPr>
          <w:rFonts w:hint="eastAsia" w:ascii="Times New Roman" w:hAnsi="Times New Roman" w:cs="Times New Roman"/>
          <w:color w:val="auto"/>
          <w:kern w:val="21"/>
          <w:sz w:val="21"/>
          <w:szCs w:val="21"/>
          <w:highlight w:val="none"/>
          <w:lang w:eastAsia="zh-CN"/>
        </w:rPr>
        <w:t>座</w:t>
      </w:r>
      <w:r>
        <w:rPr>
          <w:rFonts w:hint="default" w:ascii="Times New Roman" w:hAnsi="Times New Roman" w:cs="Times New Roman"/>
          <w:color w:val="auto"/>
          <w:kern w:val="21"/>
          <w:sz w:val="21"/>
          <w:szCs w:val="21"/>
          <w:highlight w:val="none"/>
        </w:rPr>
        <w:t>、</w:t>
      </w:r>
      <w:r>
        <w:rPr>
          <w:rFonts w:hint="eastAsia" w:ascii="Times New Roman" w:hAnsi="Times New Roman" w:cs="Times New Roman"/>
          <w:color w:val="auto"/>
          <w:kern w:val="21"/>
          <w:sz w:val="21"/>
          <w:szCs w:val="21"/>
          <w:highlight w:val="none"/>
          <w:lang w:eastAsia="zh-CN"/>
        </w:rPr>
        <w:t>毒</w:t>
      </w:r>
      <w:r>
        <w:rPr>
          <w:rFonts w:hint="default" w:ascii="Times New Roman" w:hAnsi="Times New Roman" w:cs="Times New Roman"/>
          <w:color w:val="auto"/>
          <w:kern w:val="21"/>
          <w:sz w:val="21"/>
          <w:szCs w:val="21"/>
          <w:highlight w:val="none"/>
        </w:rPr>
        <w:t>饵站</w:t>
      </w:r>
      <w:r>
        <w:rPr>
          <w:rFonts w:hint="eastAsia" w:ascii="Times New Roman" w:hAnsi="Times New Roman" w:cs="Times New Roman"/>
          <w:color w:val="auto"/>
          <w:kern w:val="21"/>
          <w:sz w:val="21"/>
          <w:szCs w:val="21"/>
          <w:highlight w:val="none"/>
          <w:lang w:val="en-US" w:eastAsia="zh-CN"/>
        </w:rPr>
        <w:t>600</w:t>
      </w:r>
      <w:r>
        <w:rPr>
          <w:rFonts w:hint="default" w:ascii="Times New Roman" w:hAnsi="Times New Roman" w:cs="Times New Roman"/>
          <w:color w:val="auto"/>
          <w:kern w:val="21"/>
          <w:sz w:val="21"/>
          <w:szCs w:val="21"/>
          <w:highlight w:val="none"/>
        </w:rPr>
        <w:t>只、河岩大型水体</w:t>
      </w:r>
      <w:r>
        <w:rPr>
          <w:rFonts w:hint="eastAsia" w:ascii="Times New Roman" w:hAnsi="Times New Roman" w:cs="Times New Roman"/>
          <w:color w:val="auto"/>
          <w:kern w:val="21"/>
          <w:sz w:val="21"/>
          <w:szCs w:val="21"/>
          <w:highlight w:val="none"/>
          <w:lang w:val="en-US" w:eastAsia="zh-CN"/>
        </w:rPr>
        <w:t>15</w:t>
      </w:r>
      <w:r>
        <w:rPr>
          <w:rFonts w:hint="eastAsia" w:ascii="Times New Roman" w:hAnsi="Times New Roman" w:cs="Times New Roman"/>
          <w:color w:val="auto"/>
          <w:kern w:val="21"/>
          <w:sz w:val="21"/>
          <w:szCs w:val="21"/>
          <w:highlight w:val="none"/>
          <w:lang w:eastAsia="zh-CN"/>
        </w:rPr>
        <w:t>公里</w:t>
      </w:r>
      <w:r>
        <w:rPr>
          <w:rFonts w:hint="default" w:ascii="Times New Roman" w:hAnsi="Times New Roman" w:cs="Times New Roman"/>
          <w:color w:val="auto"/>
          <w:kern w:val="21"/>
          <w:sz w:val="21"/>
          <w:szCs w:val="21"/>
          <w:highlight w:val="none"/>
        </w:rPr>
        <w:t>、绿化</w:t>
      </w:r>
      <w:r>
        <w:rPr>
          <w:rFonts w:hint="eastAsia" w:ascii="Times New Roman" w:hAnsi="Times New Roman" w:cs="Times New Roman"/>
          <w:color w:val="auto"/>
          <w:kern w:val="21"/>
          <w:sz w:val="21"/>
          <w:szCs w:val="21"/>
          <w:highlight w:val="none"/>
          <w:lang w:val="en-US" w:eastAsia="zh-CN"/>
        </w:rPr>
        <w:t>7.48平方</w:t>
      </w:r>
      <w:r>
        <w:rPr>
          <w:rFonts w:hint="eastAsia" w:ascii="Times New Roman" w:hAnsi="Times New Roman" w:cs="Times New Roman"/>
          <w:color w:val="auto"/>
          <w:kern w:val="21"/>
          <w:sz w:val="21"/>
          <w:szCs w:val="21"/>
          <w:highlight w:val="none"/>
          <w:lang w:eastAsia="zh-CN"/>
        </w:rPr>
        <w:t>公里</w:t>
      </w:r>
      <w:r>
        <w:rPr>
          <w:rFonts w:hint="default" w:ascii="Times New Roman" w:hAnsi="Times New Roman" w:cs="Times New Roman"/>
          <w:color w:val="auto"/>
          <w:kern w:val="21"/>
          <w:sz w:val="21"/>
          <w:szCs w:val="21"/>
          <w:highlight w:val="none"/>
        </w:rPr>
        <w:t>、</w:t>
      </w:r>
      <w:r>
        <w:rPr>
          <w:rFonts w:hint="eastAsia" w:ascii="Times New Roman" w:hAnsi="Times New Roman" w:cs="Times New Roman"/>
          <w:color w:val="auto"/>
          <w:kern w:val="21"/>
          <w:sz w:val="21"/>
          <w:szCs w:val="21"/>
          <w:highlight w:val="none"/>
          <w:lang w:val="en-US" w:eastAsia="zh-CN"/>
        </w:rPr>
        <w:t>垃圾</w:t>
      </w:r>
      <w:r>
        <w:rPr>
          <w:rFonts w:hint="default" w:ascii="Times New Roman" w:hAnsi="Times New Roman" w:cs="Times New Roman"/>
          <w:color w:val="auto"/>
          <w:kern w:val="21"/>
          <w:sz w:val="21"/>
          <w:szCs w:val="21"/>
          <w:highlight w:val="none"/>
        </w:rPr>
        <w:t>桶</w:t>
      </w:r>
      <w:r>
        <w:rPr>
          <w:rFonts w:hint="eastAsia" w:ascii="Times New Roman" w:hAnsi="Times New Roman" w:cs="Times New Roman"/>
          <w:color w:val="auto"/>
          <w:kern w:val="21"/>
          <w:sz w:val="21"/>
          <w:szCs w:val="21"/>
          <w:highlight w:val="none"/>
          <w:lang w:val="en-US" w:eastAsia="zh-CN"/>
        </w:rPr>
        <w:t>1300</w:t>
      </w:r>
      <w:r>
        <w:rPr>
          <w:rFonts w:hint="default" w:ascii="Times New Roman" w:hAnsi="Times New Roman" w:cs="Times New Roman"/>
          <w:color w:val="auto"/>
          <w:kern w:val="21"/>
          <w:sz w:val="21"/>
          <w:szCs w:val="21"/>
          <w:highlight w:val="none"/>
        </w:rPr>
        <w:t>只</w:t>
      </w:r>
      <w:r>
        <w:rPr>
          <w:rFonts w:hint="eastAsia" w:ascii="Times New Roman" w:hAnsi="Times New Roman" w:cs="Times New Roman"/>
          <w:color w:val="auto"/>
          <w:kern w:val="21"/>
          <w:sz w:val="21"/>
          <w:szCs w:val="21"/>
          <w:highlight w:val="none"/>
          <w:lang w:eastAsia="zh-CN"/>
        </w:rPr>
        <w:t>。</w:t>
      </w:r>
    </w:p>
    <w:p>
      <w:pPr>
        <w:pStyle w:val="35"/>
        <w:spacing w:before="0" w:beforeAutospacing="0" w:after="0" w:afterAutospacing="0" w:line="560" w:lineRule="exact"/>
        <w:ind w:firstLine="420" w:firstLineChars="200"/>
        <w:rPr>
          <w:rFonts w:hint="eastAsia" w:ascii="Times New Roman" w:hAnsi="Times New Roman" w:eastAsia="宋体" w:cs="Times New Roman"/>
          <w:color w:val="auto"/>
          <w:kern w:val="21"/>
          <w:sz w:val="21"/>
          <w:szCs w:val="21"/>
          <w:highlight w:val="none"/>
          <w:lang w:eastAsia="zh-CN"/>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2、按创建</w:t>
      </w:r>
      <w:r>
        <w:rPr>
          <w:rFonts w:hint="eastAsia" w:ascii="Times New Roman" w:hAnsi="Times New Roman" w:cs="Times New Roman"/>
          <w:color w:val="auto"/>
          <w:kern w:val="21"/>
          <w:sz w:val="21"/>
          <w:szCs w:val="21"/>
          <w:highlight w:val="none"/>
          <w:lang w:eastAsia="zh-CN"/>
        </w:rPr>
        <w:t>国家卫生镇</w:t>
      </w:r>
      <w:r>
        <w:rPr>
          <w:rFonts w:hint="default" w:ascii="Times New Roman" w:hAnsi="Times New Roman" w:cs="Times New Roman"/>
          <w:color w:val="auto"/>
          <w:kern w:val="21"/>
          <w:sz w:val="21"/>
          <w:szCs w:val="21"/>
          <w:highlight w:val="none"/>
        </w:rPr>
        <w:t>要求，全部统一开展公共外环境投药及消杀。全年共消18次。（如因实际需要业主要求增加消杀次数，承包人必须无条件配合，费用由承包人在报价时综合考虑风</w:t>
      </w:r>
      <w:r>
        <w:rPr>
          <w:rFonts w:hint="eastAsia" w:ascii="Times New Roman" w:hAnsi="Times New Roman" w:cs="Times New Roman"/>
          <w:color w:val="auto"/>
          <w:kern w:val="21"/>
          <w:sz w:val="21"/>
          <w:szCs w:val="21"/>
          <w:highlight w:val="none"/>
          <w:lang w:eastAsia="zh-CN"/>
        </w:rPr>
        <w:t>险</w:t>
      </w:r>
      <w:r>
        <w:rPr>
          <w:rFonts w:hint="default" w:ascii="Times New Roman" w:hAnsi="Times New Roman" w:cs="Times New Roman"/>
          <w:color w:val="auto"/>
          <w:kern w:val="21"/>
          <w:sz w:val="21"/>
          <w:szCs w:val="21"/>
          <w:highlight w:val="none"/>
        </w:rPr>
        <w:t>，已含在</w:t>
      </w:r>
      <w:r>
        <w:rPr>
          <w:rFonts w:hint="eastAsia" w:ascii="Times New Roman" w:hAnsi="Times New Roman" w:cs="Times New Roman"/>
          <w:color w:val="auto"/>
          <w:kern w:val="21"/>
          <w:sz w:val="21"/>
          <w:szCs w:val="21"/>
          <w:highlight w:val="none"/>
          <w:lang w:eastAsia="zh-CN"/>
        </w:rPr>
        <w:t>合</w:t>
      </w:r>
      <w:r>
        <w:rPr>
          <w:rFonts w:hint="default" w:ascii="Times New Roman" w:hAnsi="Times New Roman" w:cs="Times New Roman"/>
          <w:color w:val="auto"/>
          <w:kern w:val="21"/>
          <w:sz w:val="21"/>
          <w:szCs w:val="21"/>
          <w:highlight w:val="none"/>
        </w:rPr>
        <w:t>同价内，不在另行增加费用）</w:t>
      </w:r>
      <w:r>
        <w:rPr>
          <w:rFonts w:hint="eastAsia" w:ascii="Times New Roman" w:hAnsi="Times New Roman" w:cs="Times New Roman"/>
          <w:color w:val="auto"/>
          <w:kern w:val="21"/>
          <w:sz w:val="21"/>
          <w:szCs w:val="21"/>
          <w:highlight w:val="none"/>
          <w:lang w:eastAsia="zh-CN"/>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eastAsia" w:ascii="Times New Roman" w:hAnsi="Times New Roman" w:cs="Times New Roman"/>
          <w:color w:val="auto"/>
          <w:kern w:val="21"/>
          <w:sz w:val="21"/>
          <w:szCs w:val="21"/>
          <w:highlight w:val="none"/>
          <w:lang w:val="en-US" w:eastAsia="zh-CN"/>
        </w:rPr>
        <w:t>2.2.</w:t>
      </w:r>
      <w:r>
        <w:rPr>
          <w:rFonts w:hint="default" w:ascii="Times New Roman" w:hAnsi="Times New Roman" w:cs="Times New Roman"/>
          <w:color w:val="auto"/>
          <w:kern w:val="21"/>
          <w:sz w:val="21"/>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12</w:t>
      </w:r>
      <w:r>
        <w:rPr>
          <w:rFonts w:hint="default" w:ascii="Times New Roman" w:hAnsi="Times New Roman" w:cs="Times New Roman"/>
          <w:color w:val="auto"/>
          <w:kern w:val="21"/>
          <w:sz w:val="21"/>
          <w:szCs w:val="21"/>
          <w:highlight w:val="none"/>
        </w:rPr>
        <w:t>个（</w:t>
      </w:r>
      <w:r>
        <w:rPr>
          <w:rFonts w:hint="eastAsia" w:ascii="Times New Roman" w:hAnsi="Times New Roman" w:cs="Times New Roman"/>
          <w:color w:val="auto"/>
          <w:kern w:val="21"/>
          <w:sz w:val="21"/>
          <w:szCs w:val="21"/>
          <w:highlight w:val="none"/>
          <w:lang w:val="en-US" w:eastAsia="zh-CN"/>
        </w:rPr>
        <w:t>6000</w:t>
      </w:r>
      <w:r>
        <w:rPr>
          <w:rFonts w:hint="default" w:ascii="Times New Roman" w:hAnsi="Times New Roman" w:cs="Times New Roman"/>
          <w:color w:val="auto"/>
          <w:kern w:val="21"/>
          <w:sz w:val="21"/>
          <w:szCs w:val="21"/>
          <w:highlight w:val="none"/>
        </w:rPr>
        <w:t>户）居民进行药物集中发放，并由投标人做好药物</w:t>
      </w:r>
      <w:r>
        <w:rPr>
          <w:rFonts w:hint="eastAsia" w:ascii="Times New Roman" w:hAnsi="Times New Roman" w:cs="Times New Roman"/>
          <w:color w:val="auto"/>
          <w:kern w:val="21"/>
          <w:sz w:val="21"/>
          <w:szCs w:val="21"/>
          <w:highlight w:val="none"/>
          <w:lang w:val="en-US" w:eastAsia="zh-CN"/>
        </w:rPr>
        <w:t>的采购和药物</w:t>
      </w:r>
      <w:r>
        <w:rPr>
          <w:rFonts w:hint="default" w:ascii="Times New Roman" w:hAnsi="Times New Roman" w:cs="Times New Roman"/>
          <w:color w:val="auto"/>
          <w:kern w:val="21"/>
          <w:sz w:val="21"/>
          <w:szCs w:val="21"/>
          <w:highlight w:val="none"/>
        </w:rPr>
        <w:t>投放的指导工作。</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2.3 本次招标分为：一个标段。</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2.4 服务期限：自合同签订之日起至</w:t>
      </w:r>
      <w:r>
        <w:rPr>
          <w:rFonts w:hint="eastAsia" w:ascii="Times New Roman" w:hAnsi="Times New Roman" w:cs="Times New Roman"/>
          <w:color w:val="auto"/>
          <w:kern w:val="21"/>
          <w:sz w:val="21"/>
          <w:szCs w:val="21"/>
          <w:highlight w:val="none"/>
          <w:lang w:eastAsia="zh-CN"/>
        </w:rPr>
        <w:t>一年</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2.5 质量标准：</w:t>
      </w:r>
      <w:r>
        <w:rPr>
          <w:rFonts w:hint="eastAsia" w:ascii="Times New Roman" w:hAnsi="Times New Roman" w:cs="Times New Roman"/>
          <w:color w:val="auto"/>
          <w:kern w:val="21"/>
          <w:sz w:val="21"/>
          <w:szCs w:val="21"/>
          <w:highlight w:val="none"/>
        </w:rPr>
        <w:t>合</w:t>
      </w:r>
      <w:r>
        <w:rPr>
          <w:rFonts w:hint="eastAsia" w:ascii="Times New Roman" w:hAnsi="Times New Roman" w:cs="Times New Roman"/>
          <w:color w:val="auto"/>
          <w:kern w:val="21"/>
          <w:sz w:val="21"/>
          <w:szCs w:val="21"/>
          <w:highlight w:val="none"/>
          <w:lang w:val="en-US" w:eastAsia="zh-CN"/>
        </w:rPr>
        <w:t>格(必须</w:t>
      </w:r>
      <w:r>
        <w:rPr>
          <w:rFonts w:hint="default" w:ascii="Times New Roman" w:hAnsi="Times New Roman" w:cs="Times New Roman"/>
          <w:color w:val="auto"/>
          <w:kern w:val="21"/>
          <w:sz w:val="21"/>
          <w:szCs w:val="21"/>
          <w:highlight w:val="none"/>
        </w:rPr>
        <w:t>通过国家级卫生城市评审规定的考核标准。鼠、蚊、蝇、蟑螂密度达到国家</w:t>
      </w:r>
      <w:r>
        <w:rPr>
          <w:rFonts w:hint="eastAsia" w:ascii="Times New Roman" w:hAnsi="Times New Roman" w:cs="Times New Roman"/>
          <w:color w:val="auto"/>
          <w:kern w:val="21"/>
          <w:sz w:val="21"/>
          <w:szCs w:val="21"/>
          <w:highlight w:val="none"/>
          <w:lang w:val="en-US" w:eastAsia="zh-CN"/>
        </w:rPr>
        <w:t>病</w:t>
      </w:r>
      <w:r>
        <w:rPr>
          <w:rFonts w:hint="default" w:ascii="Times New Roman" w:hAnsi="Times New Roman" w:cs="Times New Roman"/>
          <w:color w:val="auto"/>
          <w:kern w:val="21"/>
          <w:sz w:val="21"/>
          <w:szCs w:val="21"/>
          <w:highlight w:val="none"/>
        </w:rPr>
        <w:t>媒生物控制水平标准</w:t>
      </w:r>
      <w:r>
        <w:rPr>
          <w:rFonts w:hint="eastAsia" w:ascii="Times New Roman" w:hAnsi="Times New Roman" w:cs="Times New Roman"/>
          <w:color w:val="auto"/>
          <w:kern w:val="21"/>
          <w:sz w:val="21"/>
          <w:szCs w:val="21"/>
          <w:highlight w:val="none"/>
          <w:lang w:val="en-US" w:eastAsia="zh-CN"/>
        </w:rPr>
        <w:t>C级</w:t>
      </w:r>
      <w:r>
        <w:rPr>
          <w:rFonts w:hint="default" w:ascii="Times New Roman" w:hAnsi="Times New Roman" w:cs="Times New Roman"/>
          <w:color w:val="auto"/>
          <w:kern w:val="21"/>
          <w:sz w:val="21"/>
          <w:szCs w:val="21"/>
          <w:highlight w:val="none"/>
        </w:rPr>
        <w:t>要求</w:t>
      </w:r>
      <w:r>
        <w:rPr>
          <w:rFonts w:hint="eastAsia" w:ascii="Times New Roman" w:hAnsi="Times New Roman" w:cs="Times New Roman"/>
          <w:color w:val="auto"/>
          <w:kern w:val="21"/>
          <w:sz w:val="21"/>
          <w:szCs w:val="21"/>
          <w:highlight w:val="none"/>
          <w:lang w:val="en-US" w:eastAsia="zh-CN"/>
        </w:rPr>
        <w:t>)</w:t>
      </w:r>
      <w:r>
        <w:rPr>
          <w:rFonts w:hint="default" w:ascii="Times New Roman" w:hAnsi="Times New Roman" w:cs="Times New Roman"/>
          <w:color w:val="auto"/>
          <w:kern w:val="21"/>
          <w:sz w:val="21"/>
          <w:szCs w:val="21"/>
          <w:highlight w:val="none"/>
        </w:rPr>
        <w:t>。</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3.投标人资格要求</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3.1 投标人具有独立法人资格，营业执照有除四害相应项目经营范围。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3.2 投标人已取得《浙江省病媒生物预防控制服务单位备案确认书》，且在有效期内。</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 xml:space="preserve">3.3 </w:t>
      </w:r>
      <w:r>
        <w:rPr>
          <w:rFonts w:hint="default" w:ascii="Times New Roman" w:hAnsi="Times New Roman" w:cs="Times New Roman"/>
          <w:color w:val="auto"/>
          <w:sz w:val="21"/>
          <w:szCs w:val="21"/>
          <w:highlight w:val="none"/>
        </w:rPr>
        <w:t>项目负责人必须具备病媒生物防制从业培训合格证明</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3.4 投标人（包括法定代表人和项目负责人）无行贿犯罪记录（由投标文件提交截止之日上溯3年）。</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3.5 本次招标不接受联合体。</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3.6 本次招标实行资格后审，资格后审不合格的投标人投标文件将按废标处理。</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4.招标文件的获取</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4.1凡有意参加投标申请人，请在</w:t>
      </w:r>
      <w:r>
        <w:rPr>
          <w:rFonts w:hint="eastAsia" w:ascii="Times New Roman" w:hAnsi="Times New Roman" w:cs="Times New Roman"/>
          <w:color w:val="auto"/>
          <w:kern w:val="21"/>
          <w:sz w:val="21"/>
          <w:szCs w:val="21"/>
          <w:highlight w:val="none"/>
          <w:lang w:eastAsia="zh-CN"/>
        </w:rPr>
        <w:t>台州恒信工程造价咨询有限公司（玉城街道泰安路</w:t>
      </w:r>
      <w:r>
        <w:rPr>
          <w:rFonts w:hint="eastAsia" w:ascii="Times New Roman" w:hAnsi="Times New Roman" w:cs="Times New Roman"/>
          <w:color w:val="auto"/>
          <w:kern w:val="21"/>
          <w:sz w:val="21"/>
          <w:szCs w:val="21"/>
          <w:highlight w:val="none"/>
          <w:lang w:val="en-US" w:eastAsia="zh-CN"/>
        </w:rPr>
        <w:t>312号财富中心5号楼10楼1002室）进行报名获取</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4.2 招标人不统一组织，现场踏勘和召开投标预备会，投标人视需要自行前往现场进行踏勘。</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17" w:name="_Toc14292"/>
      <w:bookmarkStart w:id="18" w:name="_Toc25674"/>
      <w:bookmarkStart w:id="19" w:name="_Toc6302"/>
      <w:r>
        <w:rPr>
          <w:rFonts w:hint="default" w:ascii="Times New Roman" w:hAnsi="Times New Roman" w:cs="Times New Roman"/>
          <w:color w:val="auto"/>
          <w:sz w:val="21"/>
          <w:szCs w:val="21"/>
          <w:highlight w:val="none"/>
        </w:rPr>
        <w:t>5.投标文件的递交</w:t>
      </w:r>
      <w:bookmarkEnd w:id="17"/>
      <w:bookmarkEnd w:id="18"/>
      <w:bookmarkEnd w:id="19"/>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5.1  投标文件递交的截止时间（投标截止时间）为</w:t>
      </w:r>
      <w:r>
        <w:rPr>
          <w:rFonts w:hint="eastAsia" w:ascii="Times New Roman" w:hAnsi="Times New Roman" w:cs="Times New Roman"/>
          <w:color w:val="auto"/>
          <w:kern w:val="21"/>
          <w:sz w:val="21"/>
          <w:szCs w:val="21"/>
          <w:highlight w:val="none"/>
          <w:lang w:eastAsia="zh-CN"/>
        </w:rPr>
        <w:t>2020</w:t>
      </w:r>
      <w:r>
        <w:rPr>
          <w:rFonts w:hint="default" w:ascii="Times New Roman" w:hAnsi="Times New Roman" w:cs="Times New Roman"/>
          <w:color w:val="auto"/>
          <w:kern w:val="21"/>
          <w:sz w:val="21"/>
          <w:szCs w:val="21"/>
          <w:highlight w:val="none"/>
        </w:rPr>
        <w:t>年</w:t>
      </w:r>
      <w:r>
        <w:rPr>
          <w:rFonts w:hint="eastAsia" w:ascii="Times New Roman" w:hAnsi="Times New Roman" w:cs="Times New Roman"/>
          <w:color w:val="auto"/>
          <w:kern w:val="21"/>
          <w:sz w:val="21"/>
          <w:szCs w:val="21"/>
          <w:highlight w:val="none"/>
          <w:lang w:val="en-US" w:eastAsia="zh-CN"/>
        </w:rPr>
        <w:t>4</w:t>
      </w:r>
      <w:r>
        <w:rPr>
          <w:rFonts w:hint="default" w:ascii="Times New Roman" w:hAnsi="Times New Roman" w:cs="Times New Roman"/>
          <w:color w:val="auto"/>
          <w:kern w:val="21"/>
          <w:sz w:val="21"/>
          <w:szCs w:val="21"/>
          <w:highlight w:val="none"/>
        </w:rPr>
        <w:t>月</w:t>
      </w:r>
      <w:r>
        <w:rPr>
          <w:rFonts w:hint="eastAsia" w:ascii="Times New Roman" w:hAnsi="Times New Roman" w:cs="Times New Roman"/>
          <w:color w:val="auto"/>
          <w:kern w:val="21"/>
          <w:sz w:val="21"/>
          <w:szCs w:val="21"/>
          <w:highlight w:val="none"/>
          <w:lang w:val="en-US" w:eastAsia="zh-CN"/>
        </w:rPr>
        <w:t>30</w:t>
      </w:r>
      <w:r>
        <w:rPr>
          <w:rFonts w:hint="default" w:ascii="Times New Roman" w:hAnsi="Times New Roman" w:cs="Times New Roman"/>
          <w:color w:val="auto"/>
          <w:kern w:val="21"/>
          <w:sz w:val="21"/>
          <w:szCs w:val="21"/>
          <w:highlight w:val="none"/>
        </w:rPr>
        <w:t>日</w:t>
      </w:r>
      <w:r>
        <w:rPr>
          <w:rFonts w:hint="eastAsia" w:ascii="Times New Roman" w:hAnsi="Times New Roman" w:cs="Times New Roman"/>
          <w:color w:val="auto"/>
          <w:kern w:val="21"/>
          <w:sz w:val="21"/>
          <w:szCs w:val="21"/>
          <w:highlight w:val="none"/>
          <w:lang w:val="en-US" w:eastAsia="zh-CN"/>
        </w:rPr>
        <w:t>10</w:t>
      </w:r>
      <w:r>
        <w:rPr>
          <w:rFonts w:hint="default" w:ascii="Times New Roman" w:hAnsi="Times New Roman" w:cs="Times New Roman"/>
          <w:color w:val="auto"/>
          <w:kern w:val="21"/>
          <w:sz w:val="21"/>
          <w:szCs w:val="21"/>
          <w:highlight w:val="none"/>
        </w:rPr>
        <w:t>时</w:t>
      </w:r>
      <w:r>
        <w:rPr>
          <w:rFonts w:hint="eastAsia" w:ascii="Times New Roman" w:hAnsi="Times New Roman" w:cs="Times New Roman"/>
          <w:color w:val="auto"/>
          <w:kern w:val="21"/>
          <w:sz w:val="21"/>
          <w:szCs w:val="21"/>
          <w:highlight w:val="none"/>
          <w:lang w:val="en-US" w:eastAsia="zh-CN"/>
        </w:rPr>
        <w:t>00</w:t>
      </w:r>
      <w:r>
        <w:rPr>
          <w:rFonts w:hint="default" w:ascii="Times New Roman" w:hAnsi="Times New Roman" w:cs="Times New Roman"/>
          <w:color w:val="auto"/>
          <w:kern w:val="21"/>
          <w:sz w:val="21"/>
          <w:szCs w:val="21"/>
          <w:highlight w:val="none"/>
        </w:rPr>
        <w:t>分，递交地点为</w:t>
      </w:r>
      <w:r>
        <w:rPr>
          <w:rFonts w:hint="eastAsia" w:ascii="Times New Roman" w:hAnsi="Times New Roman" w:cs="Times New Roman"/>
          <w:color w:val="auto"/>
          <w:kern w:val="21"/>
          <w:sz w:val="21"/>
          <w:szCs w:val="21"/>
          <w:highlight w:val="none"/>
          <w:lang w:eastAsia="zh-CN"/>
        </w:rPr>
        <w:t>玉环市芦浦镇人民政府</w:t>
      </w:r>
      <w:r>
        <w:rPr>
          <w:rFonts w:hint="eastAsia" w:ascii="Times New Roman" w:hAnsi="Times New Roman" w:cs="Times New Roman"/>
          <w:color w:val="auto"/>
          <w:kern w:val="21"/>
          <w:sz w:val="21"/>
          <w:szCs w:val="21"/>
          <w:highlight w:val="none"/>
          <w:lang w:val="en-US" w:eastAsia="zh-CN"/>
        </w:rPr>
        <w:t>四</w:t>
      </w:r>
      <w:r>
        <w:rPr>
          <w:rFonts w:hint="default" w:ascii="Times New Roman" w:hAnsi="Times New Roman" w:cs="Times New Roman"/>
          <w:color w:val="auto"/>
          <w:kern w:val="21"/>
          <w:sz w:val="21"/>
          <w:szCs w:val="21"/>
          <w:highlight w:val="none"/>
          <w:lang w:eastAsia="zh-CN"/>
        </w:rPr>
        <w:t>楼</w:t>
      </w:r>
      <w:r>
        <w:rPr>
          <w:rFonts w:hint="eastAsia" w:ascii="Times New Roman" w:hAnsi="Times New Roman" w:cs="Times New Roman"/>
          <w:color w:val="auto"/>
          <w:kern w:val="21"/>
          <w:sz w:val="21"/>
          <w:szCs w:val="21"/>
          <w:highlight w:val="none"/>
          <w:lang w:val="en-US" w:eastAsia="zh-CN"/>
        </w:rPr>
        <w:t>大会议室</w:t>
      </w:r>
      <w:r>
        <w:rPr>
          <w:rFonts w:hint="default" w:ascii="Times New Roman" w:hAnsi="Times New Roman" w:cs="Times New Roman"/>
          <w:color w:val="auto"/>
          <w:kern w:val="21"/>
          <w:sz w:val="21"/>
          <w:szCs w:val="21"/>
          <w:highlight w:val="none"/>
        </w:rPr>
        <w:t>。</w:t>
      </w:r>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5.2  逾期送达的或者未送达指定地点的投标文件，招标人不予受理。</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0" w:name="_Toc32685"/>
      <w:bookmarkStart w:id="21" w:name="_Toc7222"/>
      <w:bookmarkStart w:id="22" w:name="_Toc17507"/>
      <w:r>
        <w:rPr>
          <w:rFonts w:hint="default" w:ascii="Times New Roman" w:hAnsi="Times New Roman" w:cs="Times New Roman"/>
          <w:color w:val="auto"/>
          <w:sz w:val="21"/>
          <w:szCs w:val="21"/>
          <w:highlight w:val="none"/>
        </w:rPr>
        <w:t>6.发布公告媒介</w:t>
      </w:r>
      <w:bookmarkEnd w:id="20"/>
      <w:bookmarkEnd w:id="21"/>
      <w:bookmarkEnd w:id="22"/>
    </w:p>
    <w:p>
      <w:pPr>
        <w:pStyle w:val="35"/>
        <w:spacing w:before="0" w:beforeAutospacing="0" w:after="0" w:afterAutospacing="0" w:line="560" w:lineRule="exact"/>
        <w:ind w:firstLine="420" w:firstLineChars="200"/>
        <w:rPr>
          <w:rFonts w:hint="default" w:ascii="Times New Roman" w:hAnsi="Times New Roman" w:cs="Times New Roman"/>
          <w:color w:val="auto"/>
          <w:kern w:val="21"/>
          <w:sz w:val="21"/>
          <w:szCs w:val="21"/>
          <w:highlight w:val="none"/>
        </w:rPr>
      </w:pPr>
      <w:r>
        <w:rPr>
          <w:rFonts w:hint="default" w:ascii="Times New Roman" w:hAnsi="Times New Roman" w:cs="Times New Roman"/>
          <w:color w:val="auto"/>
          <w:kern w:val="21"/>
          <w:sz w:val="21"/>
          <w:szCs w:val="21"/>
          <w:highlight w:val="none"/>
        </w:rPr>
        <w:t>本次招标公告在玉环市公共资源交易中心网站乡镇平台发布。</w:t>
      </w:r>
    </w:p>
    <w:p>
      <w:pPr>
        <w:pStyle w:val="56"/>
        <w:spacing w:before="0" w:after="120" w:afterLines="50" w:line="560" w:lineRule="exact"/>
        <w:ind w:firstLine="422" w:firstLineChars="200"/>
        <w:rPr>
          <w:rFonts w:hint="default" w:ascii="Times New Roman" w:hAnsi="Times New Roman" w:cs="Times New Roman"/>
          <w:color w:val="auto"/>
          <w:sz w:val="21"/>
          <w:szCs w:val="21"/>
          <w:highlight w:val="none"/>
        </w:rPr>
      </w:pPr>
      <w:bookmarkStart w:id="23" w:name="_Toc29462"/>
      <w:bookmarkStart w:id="24" w:name="_Toc32400"/>
      <w:bookmarkStart w:id="25" w:name="_Toc25227"/>
      <w:r>
        <w:rPr>
          <w:rFonts w:hint="default" w:ascii="Times New Roman" w:hAnsi="Times New Roman" w:cs="Times New Roman"/>
          <w:color w:val="auto"/>
          <w:sz w:val="21"/>
          <w:szCs w:val="21"/>
          <w:highlight w:val="none"/>
        </w:rPr>
        <w:t>7.联系方式</w:t>
      </w:r>
      <w:bookmarkEnd w:id="23"/>
      <w:bookmarkEnd w:id="24"/>
      <w:bookmarkEnd w:id="25"/>
    </w:p>
    <w:p>
      <w:pPr>
        <w:spacing w:line="440" w:lineRule="exact"/>
        <w:ind w:firstLine="420" w:firstLineChars="200"/>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招标人：玉环市芦浦镇人民政府</w:t>
      </w:r>
    </w:p>
    <w:p>
      <w:pPr>
        <w:spacing w:line="440" w:lineRule="exact"/>
        <w:ind w:firstLine="420" w:firstLineChars="200"/>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招标代理机构名称：台州恒信工程造价咨询有限公司</w:t>
      </w:r>
    </w:p>
    <w:p>
      <w:pPr>
        <w:spacing w:line="440" w:lineRule="exact"/>
        <w:ind w:firstLine="420" w:firstLineChars="200"/>
        <w:rPr>
          <w:rFonts w:hint="eastAsia"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联系人：季先生</w:t>
      </w:r>
      <w:r>
        <w:rPr>
          <w:rFonts w:hint="eastAsia" w:ascii="Times New Roman" w:hAnsi="Times New Roman" w:eastAsia="宋体" w:cs="Times New Roman"/>
          <w:color w:val="auto"/>
          <w:kern w:val="21"/>
          <w:sz w:val="21"/>
          <w:szCs w:val="21"/>
          <w:highlight w:val="none"/>
          <w:lang w:val="en-US" w:eastAsia="zh-CN" w:bidi="ar-SA"/>
        </w:rPr>
        <w:tab/>
      </w:r>
      <w:r>
        <w:rPr>
          <w:rFonts w:hint="eastAsia" w:ascii="Times New Roman" w:hAnsi="Times New Roman" w:eastAsia="宋体" w:cs="Times New Roman"/>
          <w:color w:val="auto"/>
          <w:kern w:val="21"/>
          <w:sz w:val="21"/>
          <w:szCs w:val="21"/>
          <w:highlight w:val="none"/>
          <w:lang w:val="en-US" w:eastAsia="zh-CN" w:bidi="ar-SA"/>
        </w:rPr>
        <w:t>联系电话：0576-87229474</w:t>
      </w:r>
    </w:p>
    <w:p>
      <w:pPr>
        <w:spacing w:line="440" w:lineRule="exact"/>
        <w:ind w:firstLine="420" w:firstLineChars="200"/>
        <w:rPr>
          <w:rFonts w:hint="default" w:ascii="Times New Roman" w:hAnsi="Times New Roman" w:eastAsia="宋体" w:cs="Times New Roman"/>
          <w:color w:val="auto"/>
          <w:kern w:val="21"/>
          <w:sz w:val="21"/>
          <w:szCs w:val="21"/>
          <w:highlight w:val="none"/>
          <w:lang w:val="en-US" w:eastAsia="zh-CN" w:bidi="ar-SA"/>
        </w:rPr>
      </w:pPr>
      <w:r>
        <w:rPr>
          <w:rFonts w:hint="eastAsia" w:ascii="Times New Roman" w:hAnsi="Times New Roman" w:eastAsia="宋体" w:cs="Times New Roman"/>
          <w:color w:val="auto"/>
          <w:kern w:val="21"/>
          <w:sz w:val="21"/>
          <w:szCs w:val="21"/>
          <w:highlight w:val="none"/>
          <w:lang w:val="en-US" w:eastAsia="zh-CN" w:bidi="ar-SA"/>
        </w:rPr>
        <w:t>地点：玉环市玉城街道泰安路312号财富中心5号楼1002室</w:t>
      </w:r>
    </w:p>
    <w:p>
      <w:pPr>
        <w:jc w:val="center"/>
        <w:rPr>
          <w:rFonts w:hint="default" w:ascii="Times New Roman" w:hAnsi="Times New Roman" w:eastAsia="黑体" w:cs="Times New Roman"/>
          <w:bCs/>
          <w:caps/>
          <w:smallCaps/>
          <w:color w:val="auto"/>
          <w:sz w:val="32"/>
          <w:highlight w:val="none"/>
        </w:rPr>
      </w:pPr>
    </w:p>
    <w:p>
      <w:pPr>
        <w:jc w:val="center"/>
        <w:rPr>
          <w:rFonts w:hint="default" w:ascii="Times New Roman" w:hAnsi="Times New Roman" w:eastAsia="黑体" w:cs="Times New Roman"/>
          <w:bCs/>
          <w:caps/>
          <w:smallCaps/>
          <w:color w:val="auto"/>
          <w:sz w:val="32"/>
          <w:highlight w:val="none"/>
        </w:rPr>
        <w:sectPr>
          <w:headerReference r:id="rId6" w:type="default"/>
          <w:footerReference r:id="rId7" w:type="default"/>
          <w:pgSz w:w="11906" w:h="16838"/>
          <w:pgMar w:top="1701" w:right="1701" w:bottom="1701" w:left="1701" w:header="851" w:footer="992" w:gutter="0"/>
          <w:pgBorders>
            <w:top w:val="none" w:sz="0" w:space="0"/>
            <w:left w:val="none" w:sz="0" w:space="0"/>
            <w:bottom w:val="none" w:sz="0" w:space="0"/>
            <w:right w:val="none" w:sz="0" w:space="0"/>
          </w:pgBorders>
          <w:pgNumType w:fmt="decimal" w:start="1"/>
          <w:cols w:space="720" w:num="1"/>
          <w:docGrid w:linePitch="312" w:charSpace="0"/>
        </w:sectPr>
      </w:pPr>
      <w:bookmarkStart w:id="26" w:name="_Toc22001_WPSOffice_Level1"/>
      <w:bookmarkStart w:id="27" w:name="_Toc10364_WPSOffice_Level1"/>
    </w:p>
    <w:p>
      <w:pPr>
        <w:jc w:val="center"/>
        <w:rPr>
          <w:rFonts w:hint="default" w:ascii="Times New Roman" w:hAnsi="Times New Roman" w:cs="Times New Roman"/>
          <w:color w:val="auto"/>
          <w:highlight w:val="none"/>
        </w:rPr>
      </w:pPr>
      <w:r>
        <w:rPr>
          <w:rFonts w:hint="default" w:ascii="Times New Roman" w:hAnsi="Times New Roman" w:eastAsia="黑体" w:cs="Times New Roman"/>
          <w:bCs/>
          <w:caps/>
          <w:smallCaps/>
          <w:color w:val="auto"/>
          <w:sz w:val="32"/>
          <w:highlight w:val="none"/>
        </w:rPr>
        <w:t>第二章</w:t>
      </w:r>
      <w:bookmarkStart w:id="28" w:name="_Toc427132961"/>
      <w:r>
        <w:rPr>
          <w:rFonts w:hint="default" w:ascii="Times New Roman" w:hAnsi="Times New Roman" w:eastAsia="黑体" w:cs="Times New Roman"/>
          <w:bCs/>
          <w:caps/>
          <w:smallCaps/>
          <w:color w:val="auto"/>
          <w:sz w:val="32"/>
          <w:highlight w:val="none"/>
        </w:rPr>
        <w:t xml:space="preserve">  </w:t>
      </w:r>
      <w:r>
        <w:rPr>
          <w:rFonts w:hint="default" w:ascii="Times New Roman" w:hAnsi="Times New Roman" w:eastAsia="黑体" w:cs="Times New Roman"/>
          <w:b/>
          <w:color w:val="auto"/>
          <w:sz w:val="32"/>
          <w:szCs w:val="32"/>
          <w:highlight w:val="none"/>
        </w:rPr>
        <w:t>投标人须知</w:t>
      </w:r>
      <w:bookmarkEnd w:id="26"/>
      <w:bookmarkEnd w:id="27"/>
      <w:bookmarkEnd w:id="28"/>
    </w:p>
    <w:p>
      <w:pPr>
        <w:pStyle w:val="3"/>
        <w:numPr>
          <w:ilvl w:val="0"/>
          <w:numId w:val="0"/>
        </w:numPr>
        <w:jc w:val="center"/>
        <w:rPr>
          <w:rFonts w:hint="default" w:ascii="Times New Roman" w:hAnsi="Times New Roman" w:cs="Times New Roman"/>
          <w:color w:val="auto"/>
          <w:highlight w:val="none"/>
        </w:rPr>
      </w:pPr>
      <w:bookmarkStart w:id="29" w:name="_Toc5348"/>
      <w:bookmarkStart w:id="30" w:name="_Toc427131699"/>
      <w:bookmarkStart w:id="31" w:name="_Toc427132962"/>
      <w:bookmarkStart w:id="32" w:name="_Toc243706986"/>
      <w:bookmarkStart w:id="33" w:name="_Toc243708827"/>
      <w:r>
        <w:rPr>
          <w:rFonts w:hint="default" w:ascii="Times New Roman" w:hAnsi="Times New Roman" w:cs="Times New Roman"/>
          <w:color w:val="auto"/>
          <w:highlight w:val="none"/>
        </w:rPr>
        <w:t>投标人须知前附表</w:t>
      </w:r>
      <w:bookmarkEnd w:id="29"/>
      <w:bookmarkEnd w:id="30"/>
      <w:bookmarkEnd w:id="31"/>
      <w:bookmarkEnd w:id="32"/>
      <w:bookmarkEnd w:id="33"/>
    </w:p>
    <w:tbl>
      <w:tblPr>
        <w:tblStyle w:val="37"/>
        <w:tblW w:w="927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220"/>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内   容</w:t>
            </w:r>
          </w:p>
        </w:tc>
        <w:tc>
          <w:tcPr>
            <w:tcW w:w="6375"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5" w:hRule="atLeast"/>
        </w:trPr>
        <w:tc>
          <w:tcPr>
            <w:tcW w:w="683" w:type="dxa"/>
            <w:vMerge w:val="restart"/>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2220" w:type="dxa"/>
            <w:vMerge w:val="restart"/>
            <w:noWrap w:val="0"/>
            <w:vAlign w:val="center"/>
          </w:tcPr>
          <w:p>
            <w:pPr>
              <w:spacing w:line="360" w:lineRule="auto"/>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项目综合说明</w:t>
            </w:r>
          </w:p>
        </w:tc>
        <w:tc>
          <w:tcPr>
            <w:tcW w:w="6375" w:type="dxa"/>
            <w:tcBorders>
              <w:bottom w:val="single" w:color="auto" w:sz="4" w:space="0"/>
            </w:tcBorders>
            <w:noWrap w:val="0"/>
            <w:vAlign w:val="center"/>
          </w:tcPr>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lang w:eastAsia="zh-CN"/>
              </w:rPr>
              <w:t>2020年芦浦镇创建国家卫生镇病媒生物防治项目</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建设地点：玉环市</w:t>
            </w:r>
            <w:r>
              <w:rPr>
                <w:rFonts w:hint="eastAsia" w:ascii="Times New Roman" w:hAnsi="Times New Roman" w:cs="Times New Roman"/>
                <w:color w:val="auto"/>
                <w:szCs w:val="21"/>
                <w:highlight w:val="none"/>
                <w:lang w:eastAsia="zh-CN"/>
              </w:rPr>
              <w:t>芦浦镇</w:t>
            </w:r>
            <w:r>
              <w:rPr>
                <w:rFonts w:hint="default" w:ascii="Times New Roman" w:hAnsi="Times New Roman" w:cs="Times New Roman"/>
                <w:color w:val="auto"/>
                <w:szCs w:val="21"/>
                <w:highlight w:val="none"/>
              </w:rPr>
              <w:t xml:space="preserve">辖区内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项目规模：</w:t>
            </w:r>
            <w:r>
              <w:rPr>
                <w:rFonts w:hint="eastAsia" w:ascii="Times New Roman" w:hAnsi="Times New Roman" w:cs="Times New Roman"/>
                <w:color w:val="auto"/>
                <w:kern w:val="21"/>
                <w:szCs w:val="21"/>
                <w:highlight w:val="none"/>
                <w:lang w:eastAsia="zh-CN"/>
              </w:rPr>
              <w:t>芦浦</w:t>
            </w:r>
            <w:r>
              <w:rPr>
                <w:rFonts w:hint="eastAsia" w:ascii="Times New Roman" w:hAnsi="Times New Roman" w:cs="Times New Roman"/>
                <w:color w:val="auto"/>
                <w:kern w:val="21"/>
                <w:szCs w:val="21"/>
                <w:highlight w:val="none"/>
                <w:lang w:val="en-US" w:eastAsia="zh-CN"/>
              </w:rPr>
              <w:t>19.67</w:t>
            </w:r>
            <w:r>
              <w:rPr>
                <w:rFonts w:hint="default" w:ascii="Times New Roman" w:hAnsi="Times New Roman" w:cs="Times New Roman"/>
                <w:color w:val="auto"/>
                <w:kern w:val="21"/>
                <w:szCs w:val="21"/>
                <w:highlight w:val="none"/>
                <w:lang w:eastAsia="zh-CN"/>
              </w:rPr>
              <w:t>平方公里</w:t>
            </w:r>
            <w:r>
              <w:rPr>
                <w:rFonts w:hint="default" w:ascii="Times New Roman" w:hAnsi="Times New Roman" w:cs="Times New Roman"/>
                <w:color w:val="auto"/>
                <w:kern w:val="21"/>
                <w:szCs w:val="21"/>
                <w:highlight w:val="none"/>
              </w:rPr>
              <w:t>公共外环境投药及消杀</w:t>
            </w:r>
            <w:r>
              <w:rPr>
                <w:rFonts w:hint="default" w:ascii="Times New Roman" w:hAnsi="Times New Roman" w:cs="Times New Roman"/>
                <w:color w:val="auto"/>
                <w:szCs w:val="21"/>
                <w:highlight w:val="none"/>
              </w:rPr>
              <w:t xml:space="preserve">  </w:t>
            </w:r>
          </w:p>
          <w:p>
            <w:pPr>
              <w:spacing w:line="288"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要求质量等级：</w:t>
            </w:r>
            <w:r>
              <w:rPr>
                <w:rFonts w:hint="default" w:ascii="Times New Roman" w:hAnsi="Times New Roman" w:cs="Times New Roman"/>
                <w:color w:val="auto"/>
                <w:kern w:val="21"/>
                <w:szCs w:val="21"/>
                <w:highlight w:val="none"/>
              </w:rPr>
              <w:t>通过国家级卫生城市评审规定的考核标准。鼠、蚊、蝇、蟑螂密度达到国家媒生物控制水平标准C级要求</w:t>
            </w:r>
            <w:r>
              <w:rPr>
                <w:rFonts w:hint="default" w:ascii="Times New Roman" w:hAnsi="Times New Roman"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exact"/>
        </w:trPr>
        <w:tc>
          <w:tcPr>
            <w:tcW w:w="683" w:type="dxa"/>
            <w:vMerge w:val="continue"/>
            <w:noWrap w:val="0"/>
            <w:vAlign w:val="center"/>
          </w:tcPr>
          <w:p>
            <w:pPr>
              <w:jc w:val="center"/>
              <w:rPr>
                <w:rFonts w:hint="default" w:ascii="Times New Roman" w:hAnsi="Times New Roman" w:cs="Times New Roman"/>
                <w:color w:val="auto"/>
                <w:highlight w:val="none"/>
              </w:rPr>
            </w:pPr>
          </w:p>
        </w:tc>
        <w:tc>
          <w:tcPr>
            <w:tcW w:w="2220" w:type="dxa"/>
            <w:vMerge w:val="continue"/>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招标人：</w:t>
            </w:r>
            <w:r>
              <w:rPr>
                <w:rFonts w:hint="eastAsia" w:ascii="Times New Roman" w:hAnsi="Times New Roman" w:cs="Times New Roman"/>
                <w:color w:val="auto"/>
                <w:szCs w:val="21"/>
                <w:highlight w:val="none"/>
                <w:lang w:eastAsia="zh-CN"/>
              </w:rPr>
              <w:t>玉环市芦浦镇人民政府</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val="en-US" w:eastAsia="zh-CN"/>
              </w:rPr>
              <w:t>黄女士</w:t>
            </w:r>
          </w:p>
          <w:p>
            <w:pPr>
              <w:spacing w:line="288" w:lineRule="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val="en-US" w:eastAsia="zh-CN"/>
              </w:rPr>
              <w:t>13967666120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exact"/>
        </w:trPr>
        <w:tc>
          <w:tcPr>
            <w:tcW w:w="683" w:type="dxa"/>
            <w:vMerge w:val="continue"/>
            <w:tcBorders>
              <w:bottom w:val="single" w:color="auto" w:sz="4" w:space="0"/>
            </w:tcBorders>
            <w:noWrap w:val="0"/>
            <w:vAlign w:val="center"/>
          </w:tcPr>
          <w:p>
            <w:pPr>
              <w:jc w:val="center"/>
              <w:rPr>
                <w:rFonts w:hint="default" w:ascii="Times New Roman" w:hAnsi="Times New Roman" w:cs="Times New Roman"/>
                <w:color w:val="auto"/>
                <w:highlight w:val="none"/>
              </w:rPr>
            </w:pPr>
          </w:p>
        </w:tc>
        <w:tc>
          <w:tcPr>
            <w:tcW w:w="2220" w:type="dxa"/>
            <w:vMerge w:val="continue"/>
            <w:tcBorders>
              <w:bottom w:val="single" w:color="auto" w:sz="4" w:space="0"/>
            </w:tcBorders>
            <w:noWrap w:val="0"/>
            <w:vAlign w:val="center"/>
          </w:tcPr>
          <w:p>
            <w:pPr>
              <w:spacing w:line="360" w:lineRule="auto"/>
              <w:jc w:val="center"/>
              <w:rPr>
                <w:rFonts w:hint="default" w:ascii="Times New Roman" w:hAnsi="Times New Roman" w:cs="Times New Roman"/>
                <w:color w:val="auto"/>
                <w:highlight w:val="none"/>
              </w:rPr>
            </w:pPr>
          </w:p>
        </w:tc>
        <w:tc>
          <w:tcPr>
            <w:tcW w:w="6375" w:type="dxa"/>
            <w:tcBorders>
              <w:bottom w:val="single" w:color="auto" w:sz="4" w:space="0"/>
            </w:tcBorders>
            <w:noWrap w:val="0"/>
            <w:vAlign w:val="center"/>
          </w:tcPr>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招标代理机构：</w:t>
            </w:r>
            <w:r>
              <w:rPr>
                <w:rFonts w:hint="eastAsia" w:ascii="Times New Roman" w:hAnsi="Times New Roman" w:cs="Times New Roman"/>
                <w:color w:val="auto"/>
                <w:szCs w:val="21"/>
                <w:highlight w:val="none"/>
                <w:lang w:eastAsia="zh-CN"/>
              </w:rPr>
              <w:t>台州恒信工程造价咨询有限公司</w:t>
            </w:r>
          </w:p>
          <w:p>
            <w:pPr>
              <w:spacing w:line="320" w:lineRule="exact"/>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地址：玉环市玉城街道</w:t>
            </w:r>
            <w:r>
              <w:rPr>
                <w:rFonts w:hint="eastAsia" w:ascii="Times New Roman" w:hAnsi="Times New Roman" w:cs="Times New Roman"/>
                <w:color w:val="auto"/>
                <w:szCs w:val="21"/>
                <w:highlight w:val="none"/>
                <w:lang w:eastAsia="zh-CN"/>
              </w:rPr>
              <w:t>泰安路</w:t>
            </w:r>
            <w:r>
              <w:rPr>
                <w:rFonts w:hint="eastAsia" w:ascii="Times New Roman" w:hAnsi="Times New Roman" w:cs="Times New Roman"/>
                <w:color w:val="auto"/>
                <w:szCs w:val="21"/>
                <w:highlight w:val="none"/>
                <w:lang w:val="en-US" w:eastAsia="zh-CN"/>
              </w:rPr>
              <w:t>312号财富中心5号楼1002</w:t>
            </w:r>
          </w:p>
          <w:p>
            <w:pPr>
              <w:spacing w:line="32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联系人：</w:t>
            </w:r>
            <w:r>
              <w:rPr>
                <w:rFonts w:hint="eastAsia" w:ascii="Times New Roman" w:hAnsi="Times New Roman" w:cs="Times New Roman"/>
                <w:color w:val="auto"/>
                <w:szCs w:val="21"/>
                <w:highlight w:val="none"/>
                <w:lang w:eastAsia="zh-CN"/>
              </w:rPr>
              <w:t>季朝晖</w:t>
            </w:r>
          </w:p>
          <w:p>
            <w:pPr>
              <w:spacing w:line="288" w:lineRule="auto"/>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电  话：</w:t>
            </w:r>
            <w:r>
              <w:rPr>
                <w:rFonts w:hint="eastAsia" w:ascii="Times New Roman" w:hAnsi="Times New Roman" w:cs="Times New Roman"/>
                <w:color w:val="auto"/>
                <w:szCs w:val="21"/>
                <w:highlight w:val="none"/>
                <w:lang w:eastAsia="zh-CN"/>
              </w:rPr>
              <w:t>0576-87229474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招标范围</w:t>
            </w:r>
          </w:p>
        </w:tc>
        <w:tc>
          <w:tcPr>
            <w:tcW w:w="6375" w:type="dxa"/>
            <w:noWrap w:val="0"/>
            <w:vAlign w:val="center"/>
          </w:tcPr>
          <w:p>
            <w:pPr>
              <w:spacing w:line="276" w:lineRule="auto"/>
              <w:rPr>
                <w:rFonts w:hint="default"/>
              </w:rPr>
            </w:pPr>
            <w:r>
              <w:rPr>
                <w:rFonts w:hint="default"/>
              </w:rPr>
              <w:t>按照</w:t>
            </w:r>
            <w:r>
              <w:rPr>
                <w:rFonts w:hint="eastAsia"/>
                <w:lang w:eastAsia="zh-CN"/>
              </w:rPr>
              <w:t>芦浦</w:t>
            </w:r>
            <w:r>
              <w:rPr>
                <w:rFonts w:hint="default"/>
              </w:rPr>
              <w:t>镇</w:t>
            </w:r>
            <w:r>
              <w:rPr>
                <w:rFonts w:hint="eastAsia"/>
                <w:lang w:eastAsia="zh-CN"/>
              </w:rPr>
              <w:t>“</w:t>
            </w:r>
            <w:r>
              <w:rPr>
                <w:rFonts w:hint="default"/>
              </w:rPr>
              <w:t>病媒生物防制</w:t>
            </w:r>
            <w:r>
              <w:rPr>
                <w:rFonts w:hint="eastAsia"/>
                <w:lang w:eastAsia="zh-CN"/>
              </w:rPr>
              <w:t>”</w:t>
            </w:r>
            <w:r>
              <w:rPr>
                <w:rFonts w:hint="default"/>
              </w:rPr>
              <w:t>工作基本要求来操作，按照</w:t>
            </w:r>
            <w:r>
              <w:rPr>
                <w:rFonts w:hint="eastAsia"/>
                <w:lang w:eastAsia="zh-CN"/>
              </w:rPr>
              <w:t>芦浦</w:t>
            </w:r>
            <w:r>
              <w:rPr>
                <w:rFonts w:hint="default"/>
              </w:rPr>
              <w:t>“除四害”工作基本要求来操作，总面积</w:t>
            </w:r>
            <w:r>
              <w:rPr>
                <w:rFonts w:hint="eastAsia"/>
                <w:lang w:val="en-US" w:eastAsia="zh-CN"/>
              </w:rPr>
              <w:t>19.67</w:t>
            </w:r>
            <w:r>
              <w:rPr>
                <w:rFonts w:hint="default"/>
              </w:rPr>
              <w:t>平方公里，行政村</w:t>
            </w:r>
            <w:r>
              <w:rPr>
                <w:rFonts w:hint="eastAsia"/>
                <w:lang w:val="en-US" w:eastAsia="zh-CN"/>
              </w:rPr>
              <w:t>12</w:t>
            </w:r>
            <w:r>
              <w:rPr>
                <w:rFonts w:hint="default"/>
              </w:rPr>
              <w:t>个（</w:t>
            </w:r>
            <w:r>
              <w:rPr>
                <w:rFonts w:hint="eastAsia"/>
                <w:lang w:val="en-US" w:eastAsia="zh-CN"/>
              </w:rPr>
              <w:t>6000</w:t>
            </w:r>
            <w:r>
              <w:rPr>
                <w:rFonts w:hint="default"/>
              </w:rPr>
              <w:t>户），</w:t>
            </w:r>
            <w:r>
              <w:rPr>
                <w:rFonts w:hint="eastAsia"/>
                <w:lang w:val="en-US" w:eastAsia="zh-CN"/>
              </w:rPr>
              <w:t>公园5座、</w:t>
            </w:r>
            <w:r>
              <w:rPr>
                <w:rFonts w:hint="default"/>
              </w:rPr>
              <w:t>公</w:t>
            </w:r>
            <w:r>
              <w:rPr>
                <w:rFonts w:hint="eastAsia"/>
                <w:lang w:eastAsia="zh-CN"/>
              </w:rPr>
              <w:t>厕</w:t>
            </w:r>
            <w:r>
              <w:rPr>
                <w:rFonts w:hint="eastAsia"/>
                <w:lang w:val="en-US" w:eastAsia="zh-CN"/>
              </w:rPr>
              <w:t>42</w:t>
            </w:r>
            <w:r>
              <w:rPr>
                <w:rFonts w:hint="default"/>
              </w:rPr>
              <w:t>座</w:t>
            </w:r>
            <w:r>
              <w:rPr>
                <w:rFonts w:hint="eastAsia"/>
                <w:lang w:eastAsia="zh-CN"/>
              </w:rPr>
              <w:t>、</w:t>
            </w:r>
            <w:r>
              <w:rPr>
                <w:rFonts w:hint="default"/>
              </w:rPr>
              <w:t>店面</w:t>
            </w:r>
            <w:r>
              <w:rPr>
                <w:rFonts w:hint="eastAsia"/>
                <w:lang w:val="en-US" w:eastAsia="zh-CN"/>
              </w:rPr>
              <w:t>580余</w:t>
            </w:r>
            <w:r>
              <w:rPr>
                <w:rFonts w:hint="eastAsia"/>
                <w:lang w:eastAsia="zh-CN"/>
              </w:rPr>
              <w:t>家</w:t>
            </w:r>
            <w:r>
              <w:rPr>
                <w:rFonts w:hint="default"/>
              </w:rPr>
              <w:t>、学校</w:t>
            </w:r>
            <w:r>
              <w:rPr>
                <w:rFonts w:hint="eastAsia"/>
                <w:lang w:val="en-US" w:eastAsia="zh-CN"/>
              </w:rPr>
              <w:t>4</w:t>
            </w:r>
            <w:r>
              <w:rPr>
                <w:rFonts w:hint="default"/>
              </w:rPr>
              <w:t>所、拉圾中转站</w:t>
            </w:r>
            <w:r>
              <w:rPr>
                <w:rFonts w:hint="eastAsia"/>
                <w:lang w:val="en-US" w:eastAsia="zh-CN"/>
              </w:rPr>
              <w:t>1</w:t>
            </w:r>
            <w:r>
              <w:rPr>
                <w:rFonts w:hint="default"/>
              </w:rPr>
              <w:t>个、菜场</w:t>
            </w:r>
            <w:r>
              <w:rPr>
                <w:rFonts w:hint="eastAsia"/>
                <w:lang w:val="en-US" w:eastAsia="zh-CN"/>
              </w:rPr>
              <w:t>3</w:t>
            </w:r>
            <w:r>
              <w:rPr>
                <w:rFonts w:hint="default"/>
              </w:rPr>
              <w:t>个、车站1个、</w:t>
            </w:r>
            <w:r>
              <w:rPr>
                <w:rFonts w:hint="eastAsia"/>
                <w:lang w:val="en-US" w:eastAsia="zh-CN"/>
              </w:rPr>
              <w:t>健康步道3条、雨污水</w:t>
            </w:r>
            <w:r>
              <w:rPr>
                <w:rFonts w:hint="eastAsia"/>
                <w:lang w:eastAsia="zh-CN"/>
              </w:rPr>
              <w:t>窨井</w:t>
            </w:r>
            <w:r>
              <w:rPr>
                <w:rFonts w:hint="eastAsia"/>
                <w:lang w:val="en-US" w:eastAsia="zh-CN"/>
              </w:rPr>
              <w:t>1800</w:t>
            </w:r>
            <w:r>
              <w:rPr>
                <w:rFonts w:hint="eastAsia"/>
                <w:lang w:eastAsia="zh-CN"/>
              </w:rPr>
              <w:t>座</w:t>
            </w:r>
            <w:r>
              <w:rPr>
                <w:rFonts w:hint="default"/>
              </w:rPr>
              <w:t>、</w:t>
            </w:r>
            <w:r>
              <w:rPr>
                <w:rFonts w:hint="eastAsia"/>
                <w:lang w:eastAsia="zh-CN"/>
              </w:rPr>
              <w:t>毒</w:t>
            </w:r>
            <w:r>
              <w:rPr>
                <w:rFonts w:hint="default"/>
              </w:rPr>
              <w:t>饵站</w:t>
            </w:r>
            <w:r>
              <w:rPr>
                <w:rFonts w:hint="eastAsia"/>
                <w:lang w:val="en-US" w:eastAsia="zh-CN"/>
              </w:rPr>
              <w:t>600</w:t>
            </w:r>
            <w:r>
              <w:rPr>
                <w:rFonts w:hint="default"/>
              </w:rPr>
              <w:t>只、河岩大型水体</w:t>
            </w:r>
            <w:r>
              <w:rPr>
                <w:rFonts w:hint="eastAsia"/>
                <w:lang w:val="en-US" w:eastAsia="zh-CN"/>
              </w:rPr>
              <w:t>15</w:t>
            </w:r>
            <w:r>
              <w:rPr>
                <w:rFonts w:hint="eastAsia"/>
                <w:lang w:eastAsia="zh-CN"/>
              </w:rPr>
              <w:t>公里</w:t>
            </w:r>
            <w:r>
              <w:rPr>
                <w:rFonts w:hint="default"/>
              </w:rPr>
              <w:t>、绿化</w:t>
            </w:r>
            <w:r>
              <w:rPr>
                <w:rFonts w:hint="eastAsia"/>
                <w:lang w:val="en-US" w:eastAsia="zh-CN"/>
              </w:rPr>
              <w:t>7.48平方</w:t>
            </w:r>
            <w:r>
              <w:rPr>
                <w:rFonts w:hint="eastAsia"/>
                <w:lang w:eastAsia="zh-CN"/>
              </w:rPr>
              <w:t>公里</w:t>
            </w:r>
            <w:r>
              <w:rPr>
                <w:rFonts w:hint="default"/>
              </w:rPr>
              <w:t>、</w:t>
            </w:r>
            <w:r>
              <w:rPr>
                <w:rFonts w:hint="eastAsia"/>
                <w:lang w:val="en-US" w:eastAsia="zh-CN"/>
              </w:rPr>
              <w:t>垃圾</w:t>
            </w:r>
            <w:r>
              <w:rPr>
                <w:rFonts w:hint="default"/>
              </w:rPr>
              <w:t>桶</w:t>
            </w:r>
            <w:r>
              <w:rPr>
                <w:rFonts w:hint="eastAsia"/>
                <w:lang w:val="en-US" w:eastAsia="zh-CN"/>
              </w:rPr>
              <w:t>1300</w:t>
            </w:r>
            <w:r>
              <w:rPr>
                <w:rFonts w:hint="default"/>
              </w:rPr>
              <w:t>只</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服务期限</w:t>
            </w:r>
          </w:p>
        </w:tc>
        <w:tc>
          <w:tcPr>
            <w:tcW w:w="6375" w:type="dxa"/>
            <w:noWrap w:val="0"/>
            <w:vAlign w:val="center"/>
          </w:tcPr>
          <w:p>
            <w:pPr>
              <w:spacing w:line="276"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自合同签订之日起</w:t>
            </w:r>
            <w:r>
              <w:rPr>
                <w:rFonts w:hint="eastAsia" w:ascii="Times New Roman" w:hAnsi="Times New Roman" w:cs="Times New Roman"/>
                <w:color w:val="auto"/>
                <w:highlight w:val="none"/>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资金来源</w:t>
            </w:r>
          </w:p>
        </w:tc>
        <w:tc>
          <w:tcPr>
            <w:tcW w:w="6375" w:type="dxa"/>
            <w:noWrap w:val="0"/>
            <w:vAlign w:val="center"/>
          </w:tcPr>
          <w:p>
            <w:pPr>
              <w:spacing w:line="276"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资质要求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投标人确定方式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招标方式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投标文件组成</w:t>
            </w:r>
          </w:p>
        </w:tc>
        <w:tc>
          <w:tcPr>
            <w:tcW w:w="6375" w:type="dxa"/>
            <w:noWrap w:val="0"/>
            <w:vAlign w:val="center"/>
          </w:tcPr>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投标文件由资</w:t>
            </w:r>
            <w:r>
              <w:rPr>
                <w:rFonts w:hint="eastAsia" w:ascii="Times New Roman" w:hAnsi="Times New Roman" w:cs="Times New Roman"/>
                <w:color w:val="auto"/>
                <w:highlight w:val="none"/>
                <w:lang w:eastAsia="zh-CN"/>
              </w:rPr>
              <w:t>信技术</w:t>
            </w:r>
            <w:r>
              <w:rPr>
                <w:rFonts w:hint="default" w:ascii="Times New Roman" w:hAnsi="Times New Roman" w:cs="Times New Roman"/>
                <w:color w:val="auto"/>
                <w:highlight w:val="none"/>
              </w:rPr>
              <w:t>标和商务标</w:t>
            </w:r>
            <w:r>
              <w:rPr>
                <w:rFonts w:hint="eastAsia" w:ascii="Times New Roman" w:hAnsi="Times New Roman" w:cs="Times New Roman"/>
                <w:color w:val="auto"/>
                <w:highlight w:val="none"/>
                <w:lang w:eastAsia="zh-CN"/>
              </w:rPr>
              <w:t>两</w:t>
            </w:r>
            <w:r>
              <w:rPr>
                <w:rFonts w:hint="default" w:ascii="Times New Roman" w:hAnsi="Times New Roman" w:cs="Times New Roman"/>
                <w:color w:val="auto"/>
                <w:highlight w:val="none"/>
              </w:rPr>
              <w:t>部分组成。</w:t>
            </w:r>
            <w:bookmarkStart w:id="397" w:name="_GoBack"/>
            <w:bookmarkEnd w:id="397"/>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1、商务标包括：</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（1）投标函（附件一）</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清单（格式自拟）</w:t>
            </w:r>
            <w:r>
              <w:rPr>
                <w:rFonts w:hint="default" w:ascii="Times New Roman" w:hAnsi="Times New Roman" w:cs="Times New Roman"/>
                <w:color w:val="auto"/>
                <w:highlight w:val="none"/>
              </w:rPr>
              <w:t>（附件</w:t>
            </w:r>
            <w:r>
              <w:rPr>
                <w:rFonts w:hint="eastAsia" w:ascii="Times New Roman" w:hAnsi="Times New Roman" w:cs="Times New Roman"/>
                <w:color w:val="auto"/>
                <w:highlight w:val="none"/>
                <w:lang w:eastAsia="zh-CN"/>
              </w:rPr>
              <w:t>二</w:t>
            </w:r>
            <w:r>
              <w:rPr>
                <w:rFonts w:hint="default" w:ascii="Times New Roman" w:hAnsi="Times New Roman" w:cs="Times New Roman"/>
                <w:color w:val="auto"/>
                <w:highlight w:val="none"/>
              </w:rPr>
              <w:t>）</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资信</w:t>
            </w:r>
            <w:r>
              <w:rPr>
                <w:rFonts w:hint="default" w:ascii="Times New Roman" w:hAnsi="Times New Roman" w:cs="Times New Roman"/>
                <w:color w:val="auto"/>
                <w:highlight w:val="none"/>
              </w:rPr>
              <w:t>技术标包括：</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r>
              <w:rPr>
                <w:rFonts w:hint="eastAsia" w:ascii="Times New Roman" w:hAnsi="Times New Roman" w:cs="Times New Roman"/>
                <w:color w:val="auto"/>
                <w:highlight w:val="none"/>
                <w:lang w:eastAsia="zh-CN"/>
              </w:rPr>
              <w:t>（包括可能影响投标人评分的各类证明材料）</w:t>
            </w:r>
            <w:r>
              <w:rPr>
                <w:rFonts w:hint="default" w:ascii="Times New Roman" w:hAnsi="Times New Roman"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投标文件格式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1、投标人应使用招标文件中提供的附件格式。表格如不够用时，可以按同样格式扩展。</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2、投标人投标文件所用的纸张建议采用A4型纸，图表可根据需要作适当扩展。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投标担保要求</w:t>
            </w:r>
          </w:p>
        </w:tc>
        <w:tc>
          <w:tcPr>
            <w:tcW w:w="6375" w:type="dxa"/>
            <w:noWrap w:val="0"/>
            <w:vAlign w:val="center"/>
          </w:tcPr>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1）担保金额：人民币</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万元。</w:t>
            </w:r>
          </w:p>
          <w:p>
            <w:pPr>
              <w:pStyle w:val="6"/>
              <w:adjustRightInd w:val="0"/>
              <w:spacing w:line="300" w:lineRule="exact"/>
              <w:ind w:firstLine="0"/>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2）投标保证金缴纳方式：现金。</w:t>
            </w:r>
          </w:p>
          <w:p>
            <w:pPr>
              <w:spacing w:line="300" w:lineRule="exact"/>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szCs w:val="21"/>
                <w:highlight w:val="none"/>
              </w:rPr>
              <w:t>3）担保提交地址：</w:t>
            </w:r>
            <w:r>
              <w:rPr>
                <w:rFonts w:hint="eastAsia" w:ascii="Times New Roman" w:hAnsi="Times New Roman" w:cs="Times New Roman"/>
                <w:b/>
                <w:color w:val="auto"/>
                <w:szCs w:val="21"/>
                <w:highlight w:val="none"/>
                <w:lang w:eastAsia="zh-CN"/>
              </w:rPr>
              <w:t>玉环市芦浦镇人民政府</w:t>
            </w:r>
            <w:r>
              <w:rPr>
                <w:rFonts w:hint="eastAsia" w:ascii="Times New Roman" w:hAnsi="Times New Roman" w:cs="Times New Roman"/>
                <w:b/>
                <w:color w:val="auto"/>
                <w:szCs w:val="21"/>
                <w:highlight w:val="none"/>
                <w:lang w:val="en-US" w:eastAsia="zh-CN"/>
              </w:rPr>
              <w:t>四</w:t>
            </w:r>
            <w:r>
              <w:rPr>
                <w:rFonts w:hint="eastAsia" w:ascii="Times New Roman" w:hAnsi="Times New Roman" w:cs="Times New Roman"/>
                <w:b/>
                <w:color w:val="auto"/>
                <w:szCs w:val="21"/>
                <w:highlight w:val="none"/>
                <w:lang w:eastAsia="zh-CN"/>
              </w:rPr>
              <w:t>楼大</w:t>
            </w:r>
            <w:r>
              <w:rPr>
                <w:rFonts w:hint="eastAsia" w:ascii="Times New Roman" w:hAnsi="Times New Roman" w:cs="Times New Roman"/>
                <w:b/>
                <w:color w:val="auto"/>
                <w:szCs w:val="21"/>
                <w:highlight w:val="none"/>
                <w:lang w:val="en-US" w:eastAsia="zh-CN"/>
              </w:rPr>
              <w:t>会议室</w:t>
            </w:r>
            <w:r>
              <w:rPr>
                <w:rFonts w:hint="eastAsia" w:ascii="Times New Roman" w:hAnsi="Times New Roman" w:cs="Times New Roman"/>
                <w:b/>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11</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有效投标报价</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上下限范围</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投标限价为人民币</w:t>
            </w:r>
            <w:r>
              <w:rPr>
                <w:rFonts w:hint="eastAsia" w:ascii="Times New Roman" w:hAnsi="Times New Roman" w:cs="Times New Roman"/>
                <w:color w:val="auto"/>
                <w:highlight w:val="none"/>
                <w:lang w:val="en-US" w:eastAsia="zh-CN"/>
              </w:rPr>
              <w:t>24</w:t>
            </w:r>
            <w:r>
              <w:rPr>
                <w:rFonts w:hint="default" w:ascii="Times New Roman" w:hAnsi="Times New Roman" w:cs="Times New Roman"/>
                <w:color w:val="auto"/>
                <w:highlight w:val="none"/>
              </w:rPr>
              <w:t>万元，投标人的投标报价不得大于或等于此限价，否则其投标文件将被拒绝。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项目管理</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机构组成要求</w:t>
            </w:r>
          </w:p>
        </w:tc>
        <w:tc>
          <w:tcPr>
            <w:tcW w:w="6375" w:type="dxa"/>
            <w:noWrap w:val="0"/>
            <w:vAlign w:val="center"/>
          </w:tcPr>
          <w:p>
            <w:pPr>
              <w:pStyle w:val="2"/>
              <w:rPr>
                <w:rFonts w:hint="default" w:ascii="Times New Roman" w:hAnsi="Times New Roman" w:eastAsia="黑体" w:cs="Times New Roman"/>
                <w:b/>
                <w:bCs/>
                <w:color w:val="auto"/>
                <w:szCs w:val="21"/>
                <w:highlight w:val="none"/>
              </w:rPr>
            </w:pPr>
            <w:r>
              <w:rPr>
                <w:rFonts w:hint="default" w:ascii="Times New Roman" w:hAnsi="Times New Roman" w:eastAsia="黑体" w:cs="Times New Roman"/>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13</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投标有效期</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90日历天（自投标截止日起计算）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14</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投标文件的份数</w:t>
            </w:r>
          </w:p>
        </w:tc>
        <w:tc>
          <w:tcPr>
            <w:tcW w:w="6375" w:type="dxa"/>
            <w:noWrap w:val="0"/>
            <w:vAlign w:val="center"/>
          </w:tcPr>
          <w:p>
            <w:pPr>
              <w:pStyle w:val="2"/>
              <w:rPr>
                <w:rFonts w:hint="eastAsia" w:ascii="Times New Roman" w:hAnsi="Times New Roman" w:cs="Times New Roman"/>
                <w:bCs/>
                <w:color w:val="auto"/>
                <w:szCs w:val="21"/>
                <w:highlight w:val="none"/>
                <w:lang w:eastAsia="zh-CN"/>
              </w:rPr>
            </w:pPr>
            <w:r>
              <w:rPr>
                <w:rFonts w:hint="default" w:ascii="Times New Roman" w:hAnsi="Times New Roman" w:cs="Times New Roman"/>
                <w:bCs/>
                <w:color w:val="auto"/>
                <w:szCs w:val="21"/>
                <w:highlight w:val="none"/>
              </w:rPr>
              <w:t>商务标：正本一份、副本二份</w:t>
            </w:r>
            <w:r>
              <w:rPr>
                <w:rFonts w:hint="eastAsia" w:ascii="Times New Roman" w:hAnsi="Times New Roman" w:cs="Times New Roman"/>
                <w:bCs/>
                <w:color w:val="auto"/>
                <w:szCs w:val="21"/>
                <w:highlight w:val="none"/>
                <w:lang w:eastAsia="zh-CN"/>
              </w:rPr>
              <w:t>。</w:t>
            </w:r>
          </w:p>
          <w:p>
            <w:pPr>
              <w:pStyle w:val="2"/>
              <w:rPr>
                <w:rFonts w:hint="default" w:ascii="Times New Roman" w:hAnsi="Times New Roman" w:eastAsia="宋体" w:cs="Times New Roman"/>
                <w:bCs/>
                <w:color w:val="auto"/>
                <w:szCs w:val="21"/>
                <w:highlight w:val="none"/>
                <w:lang w:val="en-US" w:eastAsia="zh-CN"/>
              </w:rPr>
            </w:pPr>
            <w:r>
              <w:rPr>
                <w:rFonts w:hint="eastAsia" w:ascii="Times New Roman" w:hAnsi="Times New Roman" w:cs="Times New Roman"/>
                <w:bCs/>
                <w:color w:val="auto"/>
                <w:szCs w:val="21"/>
                <w:highlight w:val="none"/>
                <w:lang w:eastAsia="zh-CN"/>
              </w:rPr>
              <w:t>资信技术</w:t>
            </w:r>
            <w:r>
              <w:rPr>
                <w:rFonts w:hint="default" w:ascii="Times New Roman" w:hAnsi="Times New Roman" w:cs="Times New Roman"/>
                <w:bCs/>
                <w:color w:val="auto"/>
                <w:szCs w:val="21"/>
                <w:highlight w:val="none"/>
              </w:rPr>
              <w:t xml:space="preserve">标：正本一份、副本二份（正、副本均须包括证书复印件）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15</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投标文件密封及装订</w:t>
            </w:r>
          </w:p>
        </w:tc>
        <w:tc>
          <w:tcPr>
            <w:tcW w:w="6375" w:type="dxa"/>
            <w:noWrap w:val="0"/>
            <w:vAlign w:val="center"/>
          </w:tcPr>
          <w:p>
            <w:pPr>
              <w:rPr>
                <w:rFonts w:hint="default" w:ascii="Times New Roman" w:hAnsi="Times New Roman" w:cs="Times New Roman"/>
                <w:color w:val="auto"/>
                <w:highlight w:val="none"/>
                <w:u w:val="single"/>
              </w:rPr>
            </w:pPr>
            <w:r>
              <w:rPr>
                <w:rFonts w:hint="default" w:ascii="Times New Roman" w:hAnsi="Times New Roman" w:cs="Times New Roman"/>
                <w:color w:val="auto"/>
                <w:highlight w:val="none"/>
              </w:rPr>
              <w:t>投标文件的资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技术标和商务标必须采取单独密封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16</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投标文件提交地点与开标地点</w:t>
            </w:r>
          </w:p>
        </w:tc>
        <w:tc>
          <w:tcPr>
            <w:tcW w:w="6375" w:type="dxa"/>
            <w:noWrap w:val="0"/>
            <w:vAlign w:val="center"/>
          </w:tcPr>
          <w:p>
            <w:pPr>
              <w:rPr>
                <w:rFonts w:hint="default" w:ascii="Times New Roman" w:hAnsi="Times New Roman" w:eastAsia="宋体" w:cs="Times New Roman"/>
                <w:bCs/>
                <w:color w:val="auto"/>
                <w:highlight w:val="none"/>
                <w:lang w:eastAsia="zh-CN"/>
              </w:rPr>
            </w:pPr>
            <w:r>
              <w:rPr>
                <w:rFonts w:hint="eastAsia" w:ascii="Times New Roman" w:hAnsi="Times New Roman" w:cs="Times New Roman"/>
                <w:bCs/>
                <w:color w:val="auto"/>
                <w:szCs w:val="21"/>
                <w:highlight w:val="none"/>
                <w:lang w:eastAsia="zh-CN"/>
              </w:rPr>
              <w:t>玉环市芦浦镇人民政府</w:t>
            </w:r>
            <w:r>
              <w:rPr>
                <w:rFonts w:hint="eastAsia" w:ascii="Times New Roman" w:hAnsi="Times New Roman" w:cs="Times New Roman"/>
                <w:bCs/>
                <w:color w:val="auto"/>
                <w:szCs w:val="21"/>
                <w:highlight w:val="none"/>
                <w:lang w:val="en-US" w:eastAsia="zh-CN"/>
              </w:rPr>
              <w:t>四</w:t>
            </w:r>
            <w:r>
              <w:rPr>
                <w:rFonts w:hint="eastAsia" w:ascii="Times New Roman" w:hAnsi="Times New Roman" w:cs="Times New Roman"/>
                <w:bCs/>
                <w:color w:val="auto"/>
                <w:szCs w:val="21"/>
                <w:highlight w:val="none"/>
                <w:lang w:eastAsia="zh-CN"/>
              </w:rPr>
              <w:t>楼</w:t>
            </w:r>
            <w:r>
              <w:rPr>
                <w:rFonts w:hint="eastAsia" w:ascii="Times New Roman" w:hAnsi="Times New Roman" w:cs="Times New Roman"/>
                <w:bCs/>
                <w:color w:val="auto"/>
                <w:szCs w:val="21"/>
                <w:highlight w:val="none"/>
                <w:lang w:val="en-US" w:eastAsia="zh-CN"/>
              </w:rPr>
              <w:t>大会议室</w:t>
            </w:r>
            <w:r>
              <w:rPr>
                <w:rFonts w:hint="eastAsia" w:ascii="Times New Roman" w:hAnsi="Times New Roman" w:cs="Times New Roman"/>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17</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投标文件提交截止时间与开标时间</w:t>
            </w:r>
          </w:p>
        </w:tc>
        <w:tc>
          <w:tcPr>
            <w:tcW w:w="6375" w:type="dxa"/>
            <w:noWrap w:val="0"/>
            <w:vAlign w:val="center"/>
          </w:tcPr>
          <w:p>
            <w:pPr>
              <w:spacing w:line="320" w:lineRule="exact"/>
              <w:jc w:val="left"/>
              <w:rPr>
                <w:rFonts w:hint="default" w:ascii="Times New Roman" w:hAnsi="Times New Roman" w:cs="Times New Roman"/>
                <w:bCs/>
                <w:color w:val="auto"/>
                <w:highlight w:val="none"/>
              </w:rPr>
            </w:pPr>
            <w:r>
              <w:rPr>
                <w:rFonts w:hint="eastAsia" w:ascii="Times New Roman" w:hAnsi="Times New Roman" w:cs="Times New Roman"/>
                <w:color w:val="auto"/>
                <w:highlight w:val="none"/>
                <w:lang w:eastAsia="zh-CN"/>
              </w:rPr>
              <w:t>2020</w:t>
            </w:r>
            <w:r>
              <w:rPr>
                <w:rFonts w:hint="default" w:ascii="Times New Roman" w:hAnsi="Times New Roman" w:cs="Times New Roman"/>
                <w:color w:val="auto"/>
                <w:highlight w:val="none"/>
              </w:rPr>
              <w:t>年</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月</w:t>
            </w:r>
            <w:r>
              <w:rPr>
                <w:rFonts w:hint="eastAsia" w:ascii="Times New Roman" w:hAnsi="Times New Roman" w:cs="Times New Roman"/>
                <w:color w:val="auto"/>
                <w:highlight w:val="none"/>
                <w:lang w:val="en-US" w:eastAsia="zh-CN"/>
              </w:rPr>
              <w:t>30</w:t>
            </w:r>
            <w:r>
              <w:rPr>
                <w:rFonts w:hint="default" w:ascii="Times New Roman" w:hAnsi="Times New Roman" w:cs="Times New Roman"/>
                <w:color w:val="auto"/>
                <w:highlight w:val="none"/>
              </w:rPr>
              <w:t>日</w:t>
            </w:r>
            <w:r>
              <w:rPr>
                <w:rFonts w:hint="eastAsia" w:ascii="Times New Roman" w:hAnsi="Times New Roman" w:cs="Times New Roman"/>
                <w:color w:val="auto"/>
                <w:highlight w:val="none"/>
                <w:lang w:val="en-US" w:eastAsia="zh-CN"/>
              </w:rPr>
              <w:t>10</w:t>
            </w:r>
            <w:r>
              <w:rPr>
                <w:rFonts w:hint="default" w:ascii="Times New Roman" w:hAnsi="Times New Roman" w:cs="Times New Roman"/>
                <w:color w:val="auto"/>
                <w:highlight w:val="none"/>
              </w:rPr>
              <w:t>时</w:t>
            </w:r>
            <w:r>
              <w:rPr>
                <w:rFonts w:hint="eastAsia" w:ascii="Times New Roman" w:hAnsi="Times New Roman" w:cs="Times New Roman"/>
                <w:color w:val="auto"/>
                <w:highlight w:val="none"/>
                <w:lang w:val="en-US" w:eastAsia="zh-CN"/>
              </w:rPr>
              <w:t>00</w:t>
            </w:r>
            <w:r>
              <w:rPr>
                <w:rFonts w:hint="default" w:ascii="Times New Roman" w:hAnsi="Times New Roman" w:cs="Times New Roman"/>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18</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投标文件递交</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要求</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1）投标人提交投标担保；</w:t>
            </w:r>
          </w:p>
          <w:p>
            <w:pPr>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2）投标人下列人员经招标人（招标代理机构）确认身份后再签名报到，以证明其出席开标会议：</w:t>
            </w:r>
          </w:p>
          <w:p>
            <w:pPr>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投标人法定代表人或委托代理人（必须出具本工程授权委托书原件，参考格式见附件）应持本人有效身份证原件必须参加开标会议。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19</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先开资</w:t>
            </w:r>
            <w:r>
              <w:rPr>
                <w:rFonts w:hint="eastAsia" w:ascii="Times New Roman" w:hAnsi="Times New Roman" w:cs="Times New Roman"/>
                <w:color w:val="auto"/>
                <w:highlight w:val="none"/>
                <w:lang w:eastAsia="zh-CN"/>
              </w:rPr>
              <w:t>信</w:t>
            </w:r>
            <w:r>
              <w:rPr>
                <w:rFonts w:hint="default" w:ascii="Times New Roman" w:hAnsi="Times New Roman" w:cs="Times New Roman"/>
                <w:color w:val="auto"/>
                <w:highlight w:val="none"/>
              </w:rPr>
              <w:t>技术标，再开商务标。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20</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评标办法</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21</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中标候选人</w:t>
            </w:r>
          </w:p>
        </w:tc>
        <w:tc>
          <w:tcPr>
            <w:tcW w:w="6375" w:type="dxa"/>
            <w:noWrap w:val="0"/>
            <w:vAlign w:val="center"/>
          </w:tcPr>
          <w:p>
            <w:pPr>
              <w:rPr>
                <w:rFonts w:hint="default" w:ascii="Times New Roman" w:hAnsi="Times New Roman" w:cs="Times New Roman"/>
                <w:color w:val="auto"/>
                <w:highlight w:val="none"/>
              </w:rPr>
            </w:pPr>
            <w:r>
              <w:rPr>
                <w:rFonts w:hint="default" w:ascii="Times New Roman" w:hAnsi="Times New Roman" w:cs="Times New Roman"/>
                <w:color w:val="auto"/>
                <w:highlight w:val="none"/>
              </w:rPr>
              <w:t>只推荐1名中标候选人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683"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p>
        </w:tc>
        <w:tc>
          <w:tcPr>
            <w:tcW w:w="2220"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项目担保</w:t>
            </w:r>
          </w:p>
        </w:tc>
        <w:tc>
          <w:tcPr>
            <w:tcW w:w="6375" w:type="dxa"/>
            <w:noWrap w:val="0"/>
            <w:vAlign w:val="center"/>
          </w:tcPr>
          <w:p>
            <w:pP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履约担保金额为</w:t>
            </w:r>
            <w:r>
              <w:rPr>
                <w:rFonts w:hint="eastAsia" w:ascii="Times New Roman" w:hAnsi="Times New Roman" w:cs="Times New Roman"/>
                <w:bCs/>
                <w:color w:val="auto"/>
                <w:szCs w:val="21"/>
                <w:highlight w:val="none"/>
                <w:lang w:val="en-US" w:eastAsia="zh-CN"/>
              </w:rPr>
              <w:t>1万元</w:t>
            </w:r>
            <w:r>
              <w:rPr>
                <w:rFonts w:hint="default" w:ascii="Times New Roman" w:hAnsi="Times New Roman" w:cs="Times New Roman"/>
                <w:bCs/>
                <w:color w:val="auto"/>
                <w:szCs w:val="21"/>
                <w:highlight w:val="none"/>
              </w:rPr>
              <w:t>，</w:t>
            </w:r>
            <w:r>
              <w:rPr>
                <w:rFonts w:hint="eastAsia" w:ascii="Times New Roman" w:hAnsi="Times New Roman" w:cs="Times New Roman"/>
                <w:bCs/>
                <w:color w:val="auto"/>
                <w:szCs w:val="21"/>
                <w:highlight w:val="none"/>
                <w:lang w:eastAsia="zh-CN"/>
              </w:rPr>
              <w:t>投标保证金直接转为履约保证金。</w:t>
            </w:r>
          </w:p>
        </w:tc>
      </w:tr>
    </w:tbl>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pStyle w:val="4"/>
        <w:rPr>
          <w:rFonts w:hint="default" w:ascii="Times New Roman" w:hAnsi="Times New Roman" w:cs="Times New Roman"/>
          <w:color w:val="auto"/>
          <w:highlight w:val="none"/>
        </w:rPr>
      </w:pPr>
      <w:bookmarkStart w:id="34" w:name="_Toc243708828"/>
      <w:bookmarkStart w:id="35" w:name="_Toc500209413"/>
      <w:bookmarkStart w:id="36" w:name="_Toc500208464"/>
      <w:bookmarkStart w:id="37" w:name="_Toc243706987"/>
      <w:r>
        <w:rPr>
          <w:rFonts w:hint="default" w:ascii="Times New Roman" w:hAnsi="Times New Roman" w:cs="Times New Roman"/>
          <w:color w:val="auto"/>
          <w:highlight w:val="none"/>
        </w:rPr>
        <w:br w:type="page"/>
      </w:r>
      <w:bookmarkStart w:id="38" w:name="_Toc427132963"/>
      <w:r>
        <w:rPr>
          <w:rFonts w:hint="default" w:ascii="Times New Roman" w:hAnsi="Times New Roman" w:cs="Times New Roman"/>
          <w:color w:val="auto"/>
          <w:highlight w:val="none"/>
        </w:rPr>
        <w:t>第一节  总  则</w:t>
      </w:r>
      <w:bookmarkEnd w:id="34"/>
      <w:bookmarkEnd w:id="35"/>
      <w:bookmarkEnd w:id="36"/>
      <w:bookmarkEnd w:id="37"/>
      <w:bookmarkEnd w:id="38"/>
    </w:p>
    <w:p>
      <w:pPr>
        <w:pStyle w:val="5"/>
        <w:spacing w:line="300" w:lineRule="exact"/>
        <w:rPr>
          <w:rFonts w:hint="default" w:ascii="Times New Roman" w:hAnsi="Times New Roman" w:cs="Times New Roman"/>
          <w:color w:val="auto"/>
          <w:highlight w:val="none"/>
        </w:rPr>
      </w:pPr>
      <w:bookmarkStart w:id="39" w:name="_Toc427132964"/>
      <w:bookmarkStart w:id="40" w:name="_Toc243706988"/>
      <w:bookmarkStart w:id="41" w:name="_Toc243713888"/>
      <w:bookmarkStart w:id="42" w:name="_Toc331149287"/>
      <w:bookmarkStart w:id="43" w:name="_Toc427131701"/>
      <w:bookmarkStart w:id="44" w:name="_Toc30763"/>
      <w:bookmarkStart w:id="45" w:name="_Toc243708829"/>
      <w:bookmarkStart w:id="46" w:name="_Toc500208465"/>
      <w:r>
        <w:rPr>
          <w:rFonts w:hint="default" w:ascii="Times New Roman" w:hAnsi="Times New Roman" w:cs="Times New Roman"/>
          <w:color w:val="auto"/>
          <w:highlight w:val="none"/>
        </w:rPr>
        <w:t>项目说明</w:t>
      </w:r>
      <w:bookmarkEnd w:id="39"/>
      <w:bookmarkEnd w:id="40"/>
      <w:bookmarkEnd w:id="41"/>
      <w:bookmarkEnd w:id="42"/>
      <w:bookmarkEnd w:id="43"/>
      <w:bookmarkEnd w:id="44"/>
      <w:bookmarkEnd w:id="4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本招标项目综合说明详见本须知前附表第1项。</w:t>
      </w:r>
    </w:p>
    <w:p>
      <w:pPr>
        <w:pStyle w:val="5"/>
        <w:rPr>
          <w:rFonts w:hint="default" w:ascii="Times New Roman" w:hAnsi="Times New Roman" w:cs="Times New Roman"/>
          <w:color w:val="auto"/>
          <w:highlight w:val="none"/>
        </w:rPr>
      </w:pPr>
      <w:bookmarkStart w:id="47" w:name="_Toc243708830"/>
      <w:bookmarkStart w:id="48" w:name="_Toc331149288"/>
      <w:bookmarkStart w:id="49" w:name="_Toc3581"/>
      <w:bookmarkStart w:id="50" w:name="_Toc243706989"/>
      <w:bookmarkStart w:id="51" w:name="_Toc427131702"/>
      <w:bookmarkStart w:id="52" w:name="_Toc427132965"/>
      <w:bookmarkStart w:id="53" w:name="_Toc243713889"/>
      <w:r>
        <w:rPr>
          <w:rFonts w:hint="default" w:ascii="Times New Roman" w:hAnsi="Times New Roman" w:cs="Times New Roman"/>
          <w:color w:val="auto"/>
          <w:highlight w:val="none"/>
        </w:rPr>
        <w:t>招标范围</w:t>
      </w:r>
      <w:bookmarkEnd w:id="47"/>
      <w:bookmarkEnd w:id="48"/>
      <w:bookmarkEnd w:id="49"/>
      <w:bookmarkEnd w:id="50"/>
      <w:bookmarkEnd w:id="51"/>
      <w:bookmarkEnd w:id="52"/>
      <w:bookmarkEnd w:id="5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本招标项目范围详见本须知前附表第2项。</w:t>
      </w:r>
    </w:p>
    <w:p>
      <w:pPr>
        <w:pStyle w:val="5"/>
        <w:rPr>
          <w:rFonts w:hint="default" w:ascii="Times New Roman" w:hAnsi="Times New Roman" w:cs="Times New Roman"/>
          <w:color w:val="auto"/>
          <w:highlight w:val="none"/>
        </w:rPr>
      </w:pPr>
      <w:bookmarkStart w:id="54" w:name="_Toc243706990"/>
      <w:bookmarkStart w:id="55" w:name="_Toc427132966"/>
      <w:bookmarkStart w:id="56" w:name="_Toc4387"/>
      <w:bookmarkStart w:id="57" w:name="_Toc243713890"/>
      <w:bookmarkStart w:id="58" w:name="_Toc331149289"/>
      <w:bookmarkStart w:id="59" w:name="_Toc243708831"/>
      <w:bookmarkStart w:id="60" w:name="_Toc427131703"/>
      <w:r>
        <w:rPr>
          <w:rFonts w:hint="default" w:ascii="Times New Roman" w:hAnsi="Times New Roman" w:cs="Times New Roman"/>
          <w:color w:val="auto"/>
          <w:highlight w:val="none"/>
        </w:rPr>
        <w:t>工作内容</w:t>
      </w:r>
      <w:bookmarkEnd w:id="54"/>
      <w:bookmarkEnd w:id="55"/>
      <w:bookmarkEnd w:id="56"/>
      <w:bookmarkEnd w:id="57"/>
      <w:bookmarkEnd w:id="58"/>
      <w:bookmarkEnd w:id="59"/>
      <w:bookmarkEnd w:id="6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本招标工作内容详见本须知前附表第3项。</w:t>
      </w:r>
    </w:p>
    <w:bookmarkEnd w:id="46"/>
    <w:p>
      <w:pPr>
        <w:pStyle w:val="5"/>
        <w:rPr>
          <w:rFonts w:hint="default" w:ascii="Times New Roman" w:hAnsi="Times New Roman" w:cs="Times New Roman"/>
          <w:color w:val="auto"/>
          <w:highlight w:val="none"/>
        </w:rPr>
      </w:pPr>
      <w:bookmarkStart w:id="61" w:name="_Toc331149290"/>
      <w:bookmarkStart w:id="62" w:name="_Toc427131704"/>
      <w:bookmarkStart w:id="63" w:name="_Toc243708832"/>
      <w:bookmarkStart w:id="64" w:name="_Toc427132967"/>
      <w:bookmarkStart w:id="65" w:name="_Toc26067"/>
      <w:bookmarkStart w:id="66" w:name="_Toc243713891"/>
      <w:bookmarkStart w:id="67" w:name="_Toc500208466"/>
      <w:bookmarkStart w:id="68" w:name="_Toc243706991"/>
      <w:r>
        <w:rPr>
          <w:rFonts w:hint="default" w:ascii="Times New Roman" w:hAnsi="Times New Roman" w:cs="Times New Roman"/>
          <w:color w:val="auto"/>
          <w:highlight w:val="none"/>
        </w:rPr>
        <w:t>资金来源</w:t>
      </w:r>
      <w:bookmarkEnd w:id="61"/>
      <w:bookmarkEnd w:id="62"/>
      <w:bookmarkEnd w:id="63"/>
      <w:bookmarkEnd w:id="64"/>
      <w:bookmarkEnd w:id="65"/>
      <w:bookmarkEnd w:id="66"/>
      <w:bookmarkEnd w:id="67"/>
      <w:bookmarkEnd w:id="6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本招标项目资金来源详见本须知前附表第4项。</w:t>
      </w:r>
    </w:p>
    <w:p>
      <w:pPr>
        <w:pStyle w:val="5"/>
        <w:rPr>
          <w:rFonts w:hint="default" w:ascii="Times New Roman" w:hAnsi="Times New Roman" w:cs="Times New Roman"/>
          <w:color w:val="auto"/>
          <w:highlight w:val="none"/>
        </w:rPr>
      </w:pPr>
      <w:bookmarkStart w:id="69" w:name="_Toc331149291"/>
      <w:bookmarkStart w:id="70" w:name="_Toc243706992"/>
      <w:bookmarkStart w:id="71" w:name="_Toc2446"/>
      <w:bookmarkStart w:id="72" w:name="_Toc243713892"/>
      <w:bookmarkStart w:id="73" w:name="_Toc427131705"/>
      <w:bookmarkStart w:id="74" w:name="_Toc427132968"/>
      <w:bookmarkStart w:id="75" w:name="_Toc243708833"/>
      <w:bookmarkStart w:id="76" w:name="_Toc243713893"/>
      <w:bookmarkStart w:id="77" w:name="_Toc243706993"/>
      <w:bookmarkStart w:id="78" w:name="_Toc243708834"/>
      <w:r>
        <w:rPr>
          <w:rFonts w:hint="default" w:ascii="Times New Roman" w:hAnsi="Times New Roman" w:cs="Times New Roman"/>
          <w:color w:val="auto"/>
          <w:highlight w:val="none"/>
        </w:rPr>
        <w:t>投标资格</w:t>
      </w:r>
      <w:bookmarkEnd w:id="69"/>
      <w:bookmarkEnd w:id="70"/>
      <w:bookmarkEnd w:id="71"/>
      <w:bookmarkEnd w:id="72"/>
      <w:bookmarkEnd w:id="73"/>
      <w:bookmarkEnd w:id="74"/>
      <w:bookmarkEnd w:id="75"/>
    </w:p>
    <w:p>
      <w:pPr>
        <w:spacing w:line="264" w:lineRule="auto"/>
        <w:ind w:firstLine="420" w:firstLineChars="200"/>
        <w:rPr>
          <w:rFonts w:hint="default" w:ascii="Times New Roman" w:hAnsi="Times New Roman" w:cs="Times New Roman"/>
          <w:color w:val="auto"/>
          <w:szCs w:val="21"/>
          <w:highlight w:val="none"/>
        </w:rPr>
      </w:pPr>
      <w:bookmarkStart w:id="79" w:name="_Toc331149292"/>
      <w:r>
        <w:rPr>
          <w:rFonts w:hint="default" w:ascii="Times New Roman" w:hAnsi="Times New Roman" w:cs="Times New Roman"/>
          <w:color w:val="auto"/>
          <w:szCs w:val="21"/>
          <w:highlight w:val="none"/>
        </w:rPr>
        <w:t>5.1 投标人应具备承担本项目的资质条件和其他要求等。</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5.1.1投标人资质条件：见投标人须知前附表第5项；</w:t>
      </w:r>
    </w:p>
    <w:p>
      <w:p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5.1.2项目负责人资格：见投标人须知前附表第5项；</w:t>
      </w:r>
    </w:p>
    <w:p>
      <w:pPr>
        <w:pStyle w:val="5"/>
        <w:rPr>
          <w:rFonts w:hint="default" w:ascii="Times New Roman" w:hAnsi="Times New Roman" w:cs="Times New Roman"/>
          <w:color w:val="auto"/>
          <w:highlight w:val="none"/>
        </w:rPr>
      </w:pPr>
      <w:bookmarkStart w:id="80" w:name="_Toc427132969"/>
      <w:bookmarkStart w:id="81" w:name="_Toc17513"/>
      <w:bookmarkStart w:id="82" w:name="_Toc427131706"/>
      <w:r>
        <w:rPr>
          <w:rFonts w:hint="default" w:ascii="Times New Roman" w:hAnsi="Times New Roman" w:cs="Times New Roman"/>
          <w:color w:val="auto"/>
          <w:highlight w:val="none"/>
        </w:rPr>
        <w:t>投标费用</w:t>
      </w:r>
      <w:bookmarkEnd w:id="76"/>
      <w:bookmarkEnd w:id="77"/>
      <w:bookmarkEnd w:id="78"/>
      <w:bookmarkEnd w:id="79"/>
      <w:bookmarkEnd w:id="80"/>
      <w:bookmarkEnd w:id="81"/>
      <w:bookmarkEnd w:id="8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投标人应自行承担其参加投标活动自身发生的费用。</w:t>
      </w:r>
    </w:p>
    <w:p>
      <w:pPr>
        <w:pStyle w:val="5"/>
        <w:rPr>
          <w:rFonts w:hint="default" w:ascii="Times New Roman" w:hAnsi="Times New Roman" w:cs="Times New Roman"/>
          <w:color w:val="auto"/>
          <w:highlight w:val="none"/>
        </w:rPr>
      </w:pPr>
      <w:bookmarkStart w:id="83" w:name="_Toc243713894"/>
      <w:bookmarkStart w:id="84" w:name="_Toc427131707"/>
      <w:bookmarkStart w:id="85" w:name="_Toc427132970"/>
      <w:bookmarkStart w:id="86" w:name="_Toc243708835"/>
      <w:bookmarkStart w:id="87" w:name="_Toc16229"/>
      <w:bookmarkStart w:id="88" w:name="_Toc243706994"/>
      <w:bookmarkStart w:id="89" w:name="_Toc331149293"/>
      <w:r>
        <w:rPr>
          <w:rFonts w:hint="default" w:ascii="Times New Roman" w:hAnsi="Times New Roman" w:cs="Times New Roman"/>
          <w:color w:val="auto"/>
          <w:highlight w:val="none"/>
        </w:rPr>
        <w:t>踏勘现场</w:t>
      </w:r>
      <w:bookmarkEnd w:id="83"/>
      <w:bookmarkEnd w:id="84"/>
      <w:bookmarkEnd w:id="85"/>
      <w:bookmarkEnd w:id="86"/>
      <w:bookmarkEnd w:id="87"/>
      <w:bookmarkEnd w:id="88"/>
      <w:bookmarkEnd w:id="8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招标人将不统一组织投标人</w:t>
      </w:r>
      <w:r>
        <w:rPr>
          <w:rFonts w:hint="default" w:ascii="Times New Roman" w:hAnsi="Times New Roman" w:cs="Times New Roman"/>
          <w:bCs/>
          <w:color w:val="auto"/>
          <w:szCs w:val="21"/>
          <w:highlight w:val="none"/>
        </w:rPr>
        <w:t>踏勘现场，</w:t>
      </w:r>
      <w:r>
        <w:rPr>
          <w:rFonts w:hint="default" w:ascii="Times New Roman" w:hAnsi="Times New Roman" w:cs="Times New Roman"/>
          <w:color w:val="auto"/>
          <w:highlight w:val="none"/>
        </w:rPr>
        <w:t>投标人可自行对项目施工现场和周围环境进行踏勘，以获取编制投标文件和签署合同所需的资料。踏勘现场所发生的费用由投标人自己承担。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招标人向投标人提供的有关施工现场的资料和数据，是招标人现有的能使投标人利用的资料。招标人对投标人由此而作出的推论、理解、结论概不负责。</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除招标人向投标人提供本项目有关的情况外，投标人应通过自行调查取得与本项目施工承包可能发生的费用等有关的全部情况，包括交通、环保、治安等规定和要求。</w:t>
      </w:r>
    </w:p>
    <w:p>
      <w:pPr>
        <w:pStyle w:val="4"/>
        <w:spacing w:line="260" w:lineRule="exact"/>
        <w:rPr>
          <w:rFonts w:hint="default" w:ascii="Times New Roman" w:hAnsi="Times New Roman" w:cs="Times New Roman"/>
          <w:color w:val="auto"/>
          <w:highlight w:val="none"/>
        </w:rPr>
      </w:pPr>
      <w:bookmarkStart w:id="90" w:name="_Toc243706995"/>
      <w:bookmarkStart w:id="91" w:name="_Toc243708836"/>
      <w:bookmarkStart w:id="92" w:name="_Toc427132971"/>
      <w:bookmarkStart w:id="93" w:name="_Toc500209414"/>
      <w:bookmarkStart w:id="94" w:name="_Toc500208467"/>
      <w:bookmarkStart w:id="95" w:name="_Toc12987"/>
      <w:r>
        <w:rPr>
          <w:rFonts w:hint="default" w:ascii="Times New Roman" w:hAnsi="Times New Roman" w:cs="Times New Roman"/>
          <w:color w:val="auto"/>
          <w:highlight w:val="none"/>
        </w:rPr>
        <w:t>第二节  招标文件</w:t>
      </w:r>
      <w:bookmarkEnd w:id="90"/>
      <w:bookmarkEnd w:id="91"/>
      <w:bookmarkEnd w:id="92"/>
      <w:bookmarkEnd w:id="93"/>
      <w:bookmarkEnd w:id="94"/>
      <w:bookmarkEnd w:id="95"/>
    </w:p>
    <w:p>
      <w:pPr>
        <w:pStyle w:val="5"/>
        <w:rPr>
          <w:rFonts w:hint="default" w:ascii="Times New Roman" w:hAnsi="Times New Roman" w:cs="Times New Roman"/>
          <w:color w:val="auto"/>
          <w:highlight w:val="none"/>
        </w:rPr>
      </w:pPr>
      <w:bookmarkStart w:id="96" w:name="_Toc243708837"/>
      <w:bookmarkStart w:id="97" w:name="_Toc331149295"/>
      <w:bookmarkStart w:id="98" w:name="_Toc427131709"/>
      <w:bookmarkStart w:id="99" w:name="_Toc14092"/>
      <w:bookmarkStart w:id="100" w:name="_Toc500208468"/>
      <w:bookmarkStart w:id="101" w:name="_Toc427132972"/>
      <w:bookmarkStart w:id="102" w:name="_Toc243706996"/>
      <w:bookmarkStart w:id="103" w:name="_Toc243713896"/>
      <w:bookmarkStart w:id="104" w:name="_Toc500209421"/>
      <w:bookmarkStart w:id="105" w:name="_Toc500208499"/>
      <w:r>
        <w:rPr>
          <w:rFonts w:hint="default" w:ascii="Times New Roman" w:hAnsi="Times New Roman" w:cs="Times New Roman"/>
          <w:color w:val="auto"/>
          <w:highlight w:val="none"/>
        </w:rPr>
        <w:t>招标文件的组成</w:t>
      </w:r>
      <w:bookmarkEnd w:id="96"/>
      <w:bookmarkEnd w:id="97"/>
      <w:bookmarkEnd w:id="98"/>
      <w:bookmarkEnd w:id="99"/>
      <w:bookmarkEnd w:id="100"/>
      <w:bookmarkEnd w:id="101"/>
      <w:bookmarkEnd w:id="102"/>
      <w:bookmarkEnd w:id="10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招标文件包括下列内容：</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（1）投标须知及投标须知前附表；</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（2）评标办法；</w:t>
      </w:r>
    </w:p>
    <w:p>
      <w:pPr>
        <w:pStyle w:val="2"/>
        <w:spacing w:line="264"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    （3）合同条款；</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（4）投标承诺书格式及辅助资料表格式等；</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（5）有关图纸及资料。</w:t>
      </w:r>
    </w:p>
    <w:p>
      <w:pPr>
        <w:pStyle w:val="2"/>
        <w:numPr>
          <w:ilvl w:val="1"/>
          <w:numId w:val="2"/>
        </w:numPr>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color w:val="auto"/>
          <w:highlight w:val="none"/>
        </w:rPr>
        <w:t>除上款内容外，招标人在提交投标文件截止时间前，以书面形式对招标文件的澄清或修改内容，均为招标文件的组成部分，对招标人和投标人起约束作用。</w:t>
      </w:r>
    </w:p>
    <w:p>
      <w:pPr>
        <w:pStyle w:val="2"/>
        <w:numPr>
          <w:ilvl w:val="1"/>
          <w:numId w:val="2"/>
        </w:numPr>
        <w:spacing w:line="264" w:lineRule="auto"/>
        <w:ind w:firstLine="420" w:firstLineChars="200"/>
        <w:rPr>
          <w:rFonts w:hint="default" w:ascii="Times New Roman" w:hAnsi="Times New Roman" w:cs="Times New Roman"/>
          <w:color w:val="auto"/>
          <w:highlight w:val="none"/>
        </w:rPr>
      </w:pPr>
      <w:bookmarkStart w:id="106" w:name="_Toc427132973"/>
      <w:bookmarkStart w:id="107" w:name="_Toc11658"/>
      <w:bookmarkStart w:id="108" w:name="_Toc243708838"/>
      <w:bookmarkStart w:id="109" w:name="_Toc427131710"/>
      <w:bookmarkStart w:id="110" w:name="_Toc243706997"/>
      <w:bookmarkStart w:id="111" w:name="_Toc243713897"/>
      <w:bookmarkStart w:id="112" w:name="_Toc331149296"/>
      <w:bookmarkStart w:id="113" w:name="_Toc500208469"/>
      <w:r>
        <w:rPr>
          <w:rFonts w:hint="default" w:ascii="Times New Roman" w:hAnsi="Times New Roman" w:cs="Times New Roman"/>
          <w:color w:val="auto"/>
          <w:highlight w:val="none"/>
        </w:rPr>
        <w:t>投标人通过在交易场所（发布招标公告的媒体上）自行下载的方式获取招标文件及相关附件。投标人在获取招标文件后，应仔细检查招标文件的所有内容，如有残缺等问题应自招标文件发布在交易场所（发布招标公告的媒体上）3日内向招标人提出，否则，由此引起的损失由投标人自己承担。投标人应同时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bookmarkEnd w:id="106"/>
    <w:bookmarkEnd w:id="107"/>
    <w:bookmarkEnd w:id="108"/>
    <w:bookmarkEnd w:id="109"/>
    <w:bookmarkEnd w:id="110"/>
    <w:bookmarkEnd w:id="111"/>
    <w:bookmarkEnd w:id="112"/>
    <w:bookmarkEnd w:id="113"/>
    <w:p>
      <w:pPr>
        <w:pStyle w:val="5"/>
        <w:rPr>
          <w:rFonts w:hint="default" w:ascii="Times New Roman" w:hAnsi="Times New Roman" w:cs="Times New Roman"/>
          <w:color w:val="auto"/>
          <w:highlight w:val="none"/>
        </w:rPr>
      </w:pPr>
      <w:bookmarkStart w:id="114" w:name="_Toc169487787"/>
      <w:bookmarkStart w:id="115" w:name="_Toc331149298"/>
      <w:bookmarkStart w:id="116" w:name="_Toc17053"/>
      <w:bookmarkStart w:id="117" w:name="_Toc427132975"/>
      <w:bookmarkStart w:id="118" w:name="_Toc155342539"/>
      <w:bookmarkStart w:id="119" w:name="_Toc427131712"/>
      <w:bookmarkStart w:id="120" w:name="_Toc243708842"/>
      <w:bookmarkStart w:id="121" w:name="_Toc500208475"/>
      <w:bookmarkStart w:id="122" w:name="_Toc500209416"/>
      <w:bookmarkStart w:id="123" w:name="_Toc243707001"/>
      <w:r>
        <w:rPr>
          <w:rFonts w:hint="default" w:ascii="Times New Roman" w:hAnsi="Times New Roman" w:cs="Times New Roman"/>
          <w:color w:val="auto"/>
          <w:highlight w:val="none"/>
        </w:rPr>
        <w:t>招标文件的澄清</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获取招标文件后，若有问题需要澄清，应自招标文件发布在交易场所（发布招标公告的媒体上）3日内，以无记名书面形式（格式参考招标文件附件）向招标人提出，招标人的答复将发布在交易场所（发布招标公告的媒体上）。招标人及招标代理机构的任何工作人员对投标人所作的任何口头解释、介绍、答复，只能供投标人参考，对招标人无任何约束力。</w:t>
      </w:r>
    </w:p>
    <w:p>
      <w:pPr>
        <w:pStyle w:val="5"/>
        <w:rPr>
          <w:rFonts w:hint="default" w:ascii="Times New Roman" w:hAnsi="Times New Roman" w:cs="Times New Roman"/>
          <w:color w:val="auto"/>
          <w:highlight w:val="none"/>
        </w:rPr>
      </w:pPr>
      <w:bookmarkStart w:id="124" w:name="_Toc155342538"/>
      <w:bookmarkStart w:id="125" w:name="_Toc427131711"/>
      <w:bookmarkStart w:id="126" w:name="_Toc427132974"/>
      <w:bookmarkStart w:id="127" w:name="_Toc9326"/>
      <w:bookmarkStart w:id="128" w:name="_Toc331149297"/>
      <w:bookmarkStart w:id="129" w:name="_Toc169487786"/>
      <w:bookmarkStart w:id="130" w:name="_Toc500208470"/>
      <w:bookmarkStart w:id="131" w:name="_Toc243708840"/>
      <w:bookmarkStart w:id="132" w:name="_Toc243713899"/>
      <w:bookmarkStart w:id="133" w:name="_Toc243706999"/>
      <w:r>
        <w:rPr>
          <w:rFonts w:hint="default" w:ascii="Times New Roman" w:hAnsi="Times New Roman" w:cs="Times New Roman"/>
          <w:color w:val="auto"/>
          <w:highlight w:val="none"/>
        </w:rPr>
        <w:t>招标文件的修改</w:t>
      </w:r>
      <w:bookmarkEnd w:id="124"/>
      <w:bookmarkEnd w:id="125"/>
      <w:bookmarkEnd w:id="126"/>
      <w:bookmarkEnd w:id="127"/>
      <w:bookmarkEnd w:id="128"/>
      <w:bookmarkEnd w:id="129"/>
      <w:bookmarkEnd w:id="130"/>
    </w:p>
    <w:bookmarkEnd w:id="131"/>
    <w:bookmarkEnd w:id="132"/>
    <w:bookmarkEnd w:id="133"/>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在投标截止日期前，招标人可能以补充通知的方式修改招标文件。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招标文件的澄清、修改、补充等内容均以发布在交易场所（发布招标公告的媒体上）的内容为准。当招标文件、招标文件的澄清、修改、补充等在同一内容的表述上不一致时，以最后发出的文件为准。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招标文件的澄清、修改、补充等内容将发布在交易场所（发布招标公告的媒体上），这些内容作为招标文件的组成部分，对投标人起约束作用。</w:t>
      </w:r>
    </w:p>
    <w:p>
      <w:pPr>
        <w:pStyle w:val="5"/>
        <w:rPr>
          <w:rFonts w:hint="default" w:ascii="Times New Roman" w:hAnsi="Times New Roman" w:cs="Times New Roman"/>
          <w:color w:val="auto"/>
          <w:highlight w:val="none"/>
        </w:rPr>
      </w:pPr>
      <w:r>
        <w:rPr>
          <w:rFonts w:hint="default" w:ascii="Times New Roman" w:hAnsi="Times New Roman" w:cs="Times New Roman"/>
          <w:color w:val="auto"/>
          <w:highlight w:val="none"/>
        </w:rPr>
        <w:t>招标文件的备案</w:t>
      </w:r>
      <w:bookmarkEnd w:id="114"/>
      <w:bookmarkEnd w:id="115"/>
      <w:bookmarkEnd w:id="116"/>
      <w:bookmarkEnd w:id="117"/>
      <w:bookmarkEnd w:id="118"/>
      <w:bookmarkEnd w:id="11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本招标文件（包括澄清、修改、补充文件、答复等）未经招标监管机构备案的一律无效。</w:t>
      </w:r>
    </w:p>
    <w:p>
      <w:pPr>
        <w:pStyle w:val="5"/>
        <w:rPr>
          <w:rFonts w:hint="default" w:ascii="Times New Roman" w:hAnsi="Times New Roman" w:cs="Times New Roman"/>
          <w:color w:val="auto"/>
          <w:highlight w:val="none"/>
        </w:rPr>
      </w:pPr>
      <w:bookmarkStart w:id="134" w:name="_Toc169487788"/>
      <w:bookmarkStart w:id="135" w:name="_Toc331149299"/>
      <w:bookmarkStart w:id="136" w:name="_Toc27050"/>
      <w:bookmarkStart w:id="137" w:name="_Toc155342540"/>
      <w:bookmarkStart w:id="138" w:name="_Toc427131713"/>
      <w:bookmarkStart w:id="139" w:name="_Toc427132976"/>
      <w:r>
        <w:rPr>
          <w:rFonts w:hint="default" w:ascii="Times New Roman" w:hAnsi="Times New Roman" w:cs="Times New Roman"/>
          <w:color w:val="auto"/>
          <w:highlight w:val="none"/>
        </w:rPr>
        <w:t>招标文件的解释权</w:t>
      </w:r>
      <w:bookmarkEnd w:id="134"/>
      <w:bookmarkEnd w:id="135"/>
      <w:bookmarkEnd w:id="136"/>
      <w:bookmarkEnd w:id="137"/>
      <w:bookmarkEnd w:id="138"/>
      <w:bookmarkEnd w:id="13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本招标文件（包括澄清、修改、补充文件、答复等）的解释权属招标人。</w:t>
      </w:r>
    </w:p>
    <w:p>
      <w:pPr>
        <w:pStyle w:val="4"/>
        <w:spacing w:line="260" w:lineRule="exact"/>
        <w:rPr>
          <w:rFonts w:hint="default" w:ascii="Times New Roman" w:hAnsi="Times New Roman" w:cs="Times New Roman"/>
          <w:color w:val="auto"/>
          <w:highlight w:val="none"/>
        </w:rPr>
      </w:pPr>
      <w:bookmarkStart w:id="140" w:name="_Toc427132977"/>
      <w:bookmarkStart w:id="141" w:name="_Toc4391"/>
      <w:r>
        <w:rPr>
          <w:rFonts w:hint="default" w:ascii="Times New Roman" w:hAnsi="Times New Roman" w:cs="Times New Roman"/>
          <w:color w:val="auto"/>
          <w:highlight w:val="none"/>
        </w:rPr>
        <w:t>第三节  投标文件的编制</w:t>
      </w:r>
      <w:bookmarkEnd w:id="120"/>
      <w:bookmarkEnd w:id="121"/>
      <w:bookmarkEnd w:id="122"/>
      <w:bookmarkEnd w:id="123"/>
      <w:bookmarkEnd w:id="140"/>
      <w:bookmarkEnd w:id="141"/>
    </w:p>
    <w:p>
      <w:pPr>
        <w:pStyle w:val="5"/>
        <w:spacing w:line="300" w:lineRule="exact"/>
        <w:ind w:firstLine="105" w:firstLineChars="50"/>
        <w:rPr>
          <w:rFonts w:hint="default" w:ascii="Times New Roman" w:hAnsi="Times New Roman" w:cs="Times New Roman"/>
          <w:color w:val="auto"/>
          <w:highlight w:val="none"/>
        </w:rPr>
      </w:pPr>
      <w:bookmarkStart w:id="142" w:name="_Toc243708843"/>
      <w:bookmarkStart w:id="143" w:name="_Toc8309"/>
      <w:bookmarkStart w:id="144" w:name="_Toc427131715"/>
      <w:bookmarkStart w:id="145" w:name="_Toc243707002"/>
      <w:bookmarkStart w:id="146" w:name="_Toc145388565"/>
      <w:bookmarkStart w:id="147" w:name="_Toc243713902"/>
      <w:bookmarkStart w:id="148" w:name="_Toc427132978"/>
      <w:bookmarkStart w:id="149" w:name="_Toc500208476"/>
      <w:bookmarkStart w:id="150" w:name="_Toc331149301"/>
      <w:bookmarkStart w:id="151" w:name="_Toc500208477"/>
      <w:r>
        <w:rPr>
          <w:rFonts w:hint="default" w:ascii="Times New Roman" w:hAnsi="Times New Roman" w:cs="Times New Roman"/>
          <w:color w:val="auto"/>
          <w:highlight w:val="none"/>
        </w:rPr>
        <w:t>投标文件的组成</w:t>
      </w:r>
      <w:bookmarkEnd w:id="142"/>
      <w:bookmarkEnd w:id="143"/>
      <w:bookmarkEnd w:id="144"/>
      <w:bookmarkEnd w:id="145"/>
      <w:bookmarkEnd w:id="146"/>
      <w:bookmarkEnd w:id="147"/>
      <w:bookmarkEnd w:id="148"/>
      <w:bookmarkEnd w:id="149"/>
      <w:bookmarkEnd w:id="150"/>
    </w:p>
    <w:p>
      <w:pPr>
        <w:pStyle w:val="2"/>
        <w:numPr>
          <w:ilvl w:val="1"/>
          <w:numId w:val="2"/>
        </w:numPr>
        <w:spacing w:line="264" w:lineRule="auto"/>
        <w:ind w:firstLine="546" w:firstLineChars="26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本招标项目的投标文件组成详见本须知前附表第8项。</w:t>
      </w:r>
    </w:p>
    <w:p>
      <w:pPr>
        <w:pStyle w:val="5"/>
        <w:spacing w:line="330" w:lineRule="exact"/>
        <w:rPr>
          <w:rFonts w:hint="default" w:ascii="Times New Roman" w:hAnsi="Times New Roman" w:cs="Times New Roman"/>
          <w:color w:val="auto"/>
          <w:highlight w:val="none"/>
        </w:rPr>
      </w:pPr>
      <w:bookmarkStart w:id="152" w:name="_Toc3623"/>
      <w:bookmarkStart w:id="153" w:name="_Toc331149302"/>
      <w:bookmarkStart w:id="154" w:name="_Toc243708844"/>
      <w:bookmarkStart w:id="155" w:name="_Toc243707003"/>
      <w:bookmarkStart w:id="156" w:name="_Toc427132979"/>
      <w:bookmarkStart w:id="157" w:name="_Toc243713903"/>
      <w:bookmarkStart w:id="158" w:name="_Toc427131716"/>
      <w:r>
        <w:rPr>
          <w:rFonts w:hint="default" w:ascii="Times New Roman" w:hAnsi="Times New Roman" w:cs="Times New Roman"/>
          <w:color w:val="auto"/>
          <w:highlight w:val="none"/>
        </w:rPr>
        <w:t>投标文件的格式</w:t>
      </w:r>
      <w:bookmarkEnd w:id="152"/>
      <w:bookmarkEnd w:id="153"/>
      <w:bookmarkEnd w:id="154"/>
      <w:bookmarkEnd w:id="155"/>
      <w:bookmarkEnd w:id="156"/>
      <w:bookmarkEnd w:id="157"/>
      <w:bookmarkEnd w:id="15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本招标项目的投标文件格式要求详见本须知前附表第9项。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投标人与招标人之间与投标有关的所有往来通知、函件和投标文件均应用中文。投标人随投标文件提供的证明文件和资料可以为其他语言，但必须附中文译文。在此，为了解释投标文件，应以中文为准。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除技术规范另有规定外，投标文件使用的度量衡单位，均采用中华人民共和国法定计量单位。</w:t>
      </w:r>
    </w:p>
    <w:p>
      <w:pPr>
        <w:pStyle w:val="5"/>
        <w:spacing w:line="330" w:lineRule="exact"/>
        <w:rPr>
          <w:rFonts w:hint="default" w:ascii="Times New Roman" w:hAnsi="Times New Roman" w:cs="Times New Roman"/>
          <w:color w:val="auto"/>
          <w:highlight w:val="none"/>
        </w:rPr>
      </w:pPr>
      <w:bookmarkStart w:id="159" w:name="_Toc243708845"/>
      <w:bookmarkStart w:id="160" w:name="_Toc331149303"/>
      <w:bookmarkStart w:id="161" w:name="_Toc427132980"/>
      <w:bookmarkStart w:id="162" w:name="_Toc243713904"/>
      <w:bookmarkStart w:id="163" w:name="_Toc243707004"/>
      <w:bookmarkStart w:id="164" w:name="_Toc427131717"/>
      <w:bookmarkStart w:id="165" w:name="_Toc11116"/>
      <w:r>
        <w:rPr>
          <w:rFonts w:hint="default" w:ascii="Times New Roman" w:hAnsi="Times New Roman" w:cs="Times New Roman"/>
          <w:color w:val="auto"/>
          <w:highlight w:val="none"/>
        </w:rPr>
        <w:t>投标报价组成及要求</w:t>
      </w:r>
      <w:bookmarkEnd w:id="159"/>
      <w:bookmarkEnd w:id="160"/>
      <w:bookmarkEnd w:id="161"/>
      <w:bookmarkEnd w:id="162"/>
      <w:bookmarkEnd w:id="163"/>
      <w:bookmarkEnd w:id="164"/>
      <w:bookmarkEnd w:id="165"/>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bookmarkStart w:id="166" w:name="_Toc243707005"/>
      <w:bookmarkStart w:id="167" w:name="_Toc243713905"/>
      <w:bookmarkStart w:id="168" w:name="_Toc243708846"/>
      <w:bookmarkStart w:id="169" w:name="_Toc145388568"/>
      <w:bookmarkStart w:id="170" w:name="_Toc55121000"/>
      <w:r>
        <w:rPr>
          <w:rFonts w:hint="default" w:ascii="Times New Roman" w:hAnsi="Times New Roman" w:cs="Times New Roman"/>
          <w:color w:val="auto"/>
          <w:szCs w:val="21"/>
          <w:highlight w:val="none"/>
        </w:rPr>
        <w:t>投标人的投标报价应是招标文件所确定的招标范围内全部工作内容的价格表现，包括设备（器械）、人工、药物材料、施工、管理、保险、利润、税金、政策性文件规定、工伤保险费及合同包含的所有风险、责任等各项费用。</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投标报价应是招标文件所确定的招标范围全部工作内容价格表现。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投标人按照上述要求编制及最终确定的投标报价。一旦确认某一投标人中标，除合同规定的可调整内容外，中标人不得要求追加任何费。</w:t>
      </w:r>
    </w:p>
    <w:p>
      <w:pPr>
        <w:pStyle w:val="2"/>
        <w:numPr>
          <w:ilvl w:val="1"/>
          <w:numId w:val="2"/>
        </w:numPr>
        <w:spacing w:line="264" w:lineRule="auto"/>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投标人的报价要求详见</w:t>
      </w:r>
      <w:r>
        <w:rPr>
          <w:rFonts w:hint="default" w:ascii="Times New Roman" w:hAnsi="Times New Roman" w:eastAsia="黑体" w:cs="Times New Roman"/>
          <w:b/>
          <w:color w:val="auto"/>
          <w:highlight w:val="none"/>
        </w:rPr>
        <w:t>本须知前附表第11项，未</w:t>
      </w:r>
      <w:r>
        <w:rPr>
          <w:rFonts w:hint="default" w:ascii="Times New Roman" w:hAnsi="Times New Roman" w:eastAsia="黑体" w:cs="Times New Roman"/>
          <w:b/>
          <w:bCs/>
          <w:color w:val="auto"/>
          <w:highlight w:val="none"/>
        </w:rPr>
        <w:t>按要求报价的，作无效标处理</w:t>
      </w:r>
      <w:r>
        <w:rPr>
          <w:rFonts w:hint="default" w:ascii="Times New Roman" w:hAnsi="Times New Roman" w:eastAsia="黑体" w:cs="Times New Roman"/>
          <w:b/>
          <w:color w:val="auto"/>
          <w:highlight w:val="none"/>
        </w:rPr>
        <w:t>。</w:t>
      </w:r>
    </w:p>
    <w:p>
      <w:pPr>
        <w:pStyle w:val="5"/>
        <w:spacing w:line="330" w:lineRule="exact"/>
        <w:rPr>
          <w:rFonts w:hint="default" w:ascii="Times New Roman" w:hAnsi="Times New Roman" w:cs="Times New Roman"/>
          <w:color w:val="auto"/>
          <w:highlight w:val="none"/>
        </w:rPr>
      </w:pPr>
      <w:bookmarkStart w:id="171" w:name="_Toc331149304"/>
      <w:bookmarkStart w:id="172" w:name="_Toc427131718"/>
      <w:bookmarkStart w:id="173" w:name="_Toc427132981"/>
      <w:r>
        <w:rPr>
          <w:rFonts w:hint="default" w:ascii="Times New Roman" w:hAnsi="Times New Roman" w:cs="Times New Roman"/>
          <w:color w:val="auto"/>
          <w:highlight w:val="none"/>
        </w:rPr>
        <w:t xml:space="preserve"> </w:t>
      </w:r>
      <w:bookmarkStart w:id="174" w:name="_Toc13566"/>
      <w:r>
        <w:rPr>
          <w:rFonts w:hint="default" w:ascii="Times New Roman" w:hAnsi="Times New Roman" w:cs="Times New Roman"/>
          <w:color w:val="auto"/>
          <w:highlight w:val="none"/>
        </w:rPr>
        <w:t>管理机构人员组成要求</w:t>
      </w:r>
      <w:bookmarkEnd w:id="166"/>
      <w:bookmarkEnd w:id="167"/>
      <w:bookmarkEnd w:id="168"/>
      <w:bookmarkEnd w:id="169"/>
      <w:bookmarkEnd w:id="170"/>
      <w:bookmarkEnd w:id="171"/>
      <w:bookmarkEnd w:id="172"/>
      <w:bookmarkEnd w:id="173"/>
      <w:bookmarkEnd w:id="17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本招标项目的人员组成要求详见本须知前附表第12项。</w:t>
      </w:r>
    </w:p>
    <w:p>
      <w:pPr>
        <w:pStyle w:val="5"/>
        <w:spacing w:line="330" w:lineRule="exact"/>
        <w:rPr>
          <w:rFonts w:hint="default" w:ascii="Times New Roman" w:hAnsi="Times New Roman" w:cs="Times New Roman"/>
          <w:color w:val="auto"/>
          <w:highlight w:val="none"/>
        </w:rPr>
      </w:pPr>
      <w:bookmarkStart w:id="175" w:name="_Toc243713906"/>
      <w:bookmarkStart w:id="176" w:name="_Toc427131719"/>
      <w:bookmarkStart w:id="177" w:name="_Toc427132982"/>
      <w:bookmarkStart w:id="178" w:name="_Toc30423"/>
      <w:bookmarkStart w:id="179" w:name="_Toc243707006"/>
      <w:bookmarkStart w:id="180" w:name="_Toc243708847"/>
      <w:bookmarkStart w:id="181" w:name="_Toc331149305"/>
      <w:r>
        <w:rPr>
          <w:rFonts w:hint="default" w:ascii="Times New Roman" w:hAnsi="Times New Roman" w:cs="Times New Roman"/>
          <w:color w:val="auto"/>
          <w:highlight w:val="none"/>
        </w:rPr>
        <w:t>投标</w:t>
      </w:r>
      <w:bookmarkEnd w:id="151"/>
      <w:r>
        <w:rPr>
          <w:rFonts w:hint="default" w:ascii="Times New Roman" w:hAnsi="Times New Roman" w:cs="Times New Roman"/>
          <w:color w:val="auto"/>
          <w:highlight w:val="none"/>
        </w:rPr>
        <w:t>担保</w:t>
      </w:r>
      <w:bookmarkEnd w:id="175"/>
      <w:bookmarkEnd w:id="176"/>
      <w:bookmarkEnd w:id="177"/>
      <w:bookmarkEnd w:id="178"/>
      <w:bookmarkEnd w:id="179"/>
      <w:bookmarkEnd w:id="180"/>
      <w:bookmarkEnd w:id="18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投标人按本须知前附表第10项规定提交投标担保。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对于未能按要求提交投标担保的，招标人将视为不响应投标而予以拒绝。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投标担保按以下方式退还：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（1）中标人凭《建设项目中标通知书》退还；</w:t>
      </w:r>
    </w:p>
    <w:p>
      <w:pPr>
        <w:pStyle w:val="2"/>
        <w:spacing w:line="264" w:lineRule="auto"/>
        <w:ind w:left="-4" w:leftChars="-2"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（2）其余投标人（含无效标的）在开标结束后当场退还。</w:t>
      </w:r>
    </w:p>
    <w:p>
      <w:pPr>
        <w:pStyle w:val="2"/>
        <w:spacing w:line="264" w:lineRule="auto"/>
        <w:ind w:left="-4" w:leftChars="-2"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17.4投标人有下列情形的，招标人对投标人的投标担保按下列相应规定进行处理：</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1）投标人违反《诚信投标承诺书》第一、二、三条承诺内容的，在评标过程中经评标小组发现并以无效标处理的，对其投标担保总金额的10%～20%不予退还；在评标结束后被查实的，对其投标担保总金额的30%～40%不予退还；涉及中标候选人的，对其投标担保总金额的50%～60%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2）投标人违反《诚信投标承诺书》第四、五、六条承诺内容的，在评标过程中经评标小组发现并以无效标处理的，对其投标担保总金额的70%～80%不予退还；在评标结束后发现并被查实的，对其投标担保全部不予退还；</w:t>
      </w:r>
    </w:p>
    <w:p>
      <w:pPr>
        <w:adjustRightInd w:val="0"/>
        <w:snapToGrid w:val="0"/>
        <w:spacing w:line="264" w:lineRule="auto"/>
        <w:ind w:firstLine="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3）投标人放弃中标候选人或中标资格的（包括中标人无正当理由不与招标人订立合同；在签订合同时向招标人提出附加条件；不按照招标文件要求提交安全资格审查材料和履约担保），对其投标担保全部不予退还；对招标人造成的经济损失（包括报价的差额损失）超过投标担保总金额的，应对超过部分予以赔偿；</w:t>
      </w:r>
    </w:p>
    <w:p>
      <w:pPr>
        <w:adjustRightInd w:val="0"/>
        <w:snapToGrid w:val="0"/>
        <w:spacing w:line="264"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（4）投标人在投标有效期内撤销其投标文件的，对其投标担保全部不予退还；</w:t>
      </w:r>
    </w:p>
    <w:p>
      <w:pPr>
        <w:spacing w:line="264" w:lineRule="auto"/>
        <w:rPr>
          <w:rFonts w:hint="default" w:ascii="Times New Roman" w:hAnsi="Times New Roman" w:cs="Times New Roman"/>
          <w:color w:val="auto"/>
          <w:highlight w:val="none"/>
        </w:rPr>
      </w:pPr>
      <w:r>
        <w:rPr>
          <w:rFonts w:hint="default" w:ascii="Times New Roman" w:hAnsi="Times New Roman" w:cs="Times New Roman"/>
          <w:color w:val="auto"/>
          <w:szCs w:val="21"/>
          <w:highlight w:val="none"/>
        </w:rPr>
        <w:t xml:space="preserve">    （5）投标人因同一行为涉及上述多种情形的，招标人按投标担保不予退还金额高的进行处理。    </w:t>
      </w:r>
      <w:bookmarkStart w:id="182" w:name="_Toc500208478"/>
    </w:p>
    <w:bookmarkEnd w:id="182"/>
    <w:p>
      <w:pPr>
        <w:pStyle w:val="2"/>
        <w:spacing w:line="264" w:lineRule="auto"/>
        <w:rPr>
          <w:rFonts w:hint="default" w:ascii="Times New Roman" w:hAnsi="Times New Roman" w:cs="Times New Roman"/>
          <w:color w:val="auto"/>
          <w:highlight w:val="none"/>
        </w:rPr>
      </w:pPr>
      <w:bookmarkStart w:id="183" w:name="_Toc243707008"/>
      <w:bookmarkStart w:id="184" w:name="_Toc243713908"/>
      <w:bookmarkStart w:id="185" w:name="_Toc243708849"/>
      <w:bookmarkStart w:id="186" w:name="_Toc331149307"/>
      <w:bookmarkStart w:id="187" w:name="_Toc500208479"/>
      <w:r>
        <w:rPr>
          <w:rFonts w:hint="default" w:ascii="Times New Roman" w:hAnsi="Times New Roman" w:cs="Times New Roman"/>
          <w:color w:val="auto"/>
          <w:highlight w:val="none"/>
        </w:rPr>
        <w:t xml:space="preserve">     17.5投标人涉嫌违法违规或被投诉的，在调查处理期间，其投标担保暂不退还，待调查处理结果明确后，按有关规定处理。</w:t>
      </w:r>
    </w:p>
    <w:p>
      <w:pPr>
        <w:pStyle w:val="5"/>
        <w:spacing w:line="330" w:lineRule="exact"/>
        <w:rPr>
          <w:rFonts w:hint="default" w:ascii="Times New Roman" w:hAnsi="Times New Roman" w:cs="Times New Roman"/>
          <w:color w:val="auto"/>
          <w:highlight w:val="none"/>
        </w:rPr>
      </w:pPr>
      <w:bookmarkStart w:id="188" w:name="_Toc427131720"/>
      <w:bookmarkStart w:id="189" w:name="_Toc393874563"/>
      <w:bookmarkStart w:id="190" w:name="_Toc331149306"/>
      <w:bookmarkStart w:id="191" w:name="_Toc243707007"/>
      <w:bookmarkStart w:id="192" w:name="_Toc393870185"/>
      <w:bookmarkStart w:id="193" w:name="_Toc243713907"/>
      <w:bookmarkStart w:id="194" w:name="_Toc19860"/>
      <w:bookmarkStart w:id="195" w:name="_Toc427132983"/>
      <w:bookmarkStart w:id="196" w:name="_Toc393874943"/>
      <w:bookmarkStart w:id="197" w:name="_Toc243708848"/>
      <w:r>
        <w:rPr>
          <w:rFonts w:hint="default" w:ascii="Times New Roman" w:hAnsi="Times New Roman" w:cs="Times New Roman"/>
          <w:color w:val="auto"/>
          <w:highlight w:val="none"/>
        </w:rPr>
        <w:t>投标有效期</w:t>
      </w:r>
      <w:bookmarkEnd w:id="188"/>
      <w:bookmarkEnd w:id="189"/>
      <w:bookmarkEnd w:id="190"/>
      <w:bookmarkEnd w:id="191"/>
      <w:bookmarkEnd w:id="192"/>
      <w:bookmarkEnd w:id="193"/>
      <w:bookmarkEnd w:id="194"/>
      <w:bookmarkEnd w:id="195"/>
      <w:bookmarkEnd w:id="196"/>
      <w:bookmarkEnd w:id="197"/>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投标有效期</w:t>
      </w:r>
      <w:r>
        <w:rPr>
          <w:rFonts w:hint="default" w:ascii="Times New Roman" w:hAnsi="Times New Roman" w:cs="Times New Roman"/>
          <w:color w:val="auto"/>
          <w:szCs w:val="21"/>
          <w:highlight w:val="none"/>
        </w:rPr>
        <w:t>见本须知前附表所规定的期限，在此期限内，凡符合本招标文件要求的投标文件均保持有效。</w:t>
      </w:r>
    </w:p>
    <w:p>
      <w:pPr>
        <w:pStyle w:val="2"/>
        <w:numPr>
          <w:ilvl w:val="1"/>
          <w:numId w:val="2"/>
        </w:numPr>
        <w:spacing w:line="264"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highlight w:val="none"/>
        </w:rPr>
        <w:t>在</w:t>
      </w:r>
      <w:r>
        <w:rPr>
          <w:rFonts w:hint="default" w:ascii="Times New Roman" w:hAnsi="Times New Roman" w:cs="Times New Roman"/>
          <w:color w:val="auto"/>
          <w:szCs w:val="21"/>
          <w:highlight w:val="none"/>
        </w:rPr>
        <w:t>特殊的情况下，招标人在原定投标有效期满之前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节关于投标担保的退还与没收的规定仍然适用。</w:t>
      </w:r>
    </w:p>
    <w:p>
      <w:pPr>
        <w:pStyle w:val="5"/>
        <w:rPr>
          <w:rFonts w:hint="default" w:ascii="Times New Roman" w:hAnsi="Times New Roman" w:cs="Times New Roman"/>
          <w:color w:val="auto"/>
          <w:highlight w:val="none"/>
        </w:rPr>
      </w:pPr>
      <w:bookmarkStart w:id="198" w:name="_Toc3251"/>
      <w:bookmarkStart w:id="199" w:name="_Toc427131721"/>
      <w:bookmarkStart w:id="200" w:name="_Toc427132984"/>
      <w:r>
        <w:rPr>
          <w:rFonts w:hint="default" w:ascii="Times New Roman" w:hAnsi="Times New Roman" w:cs="Times New Roman"/>
          <w:color w:val="auto"/>
          <w:highlight w:val="none"/>
        </w:rPr>
        <w:t>投标文件的份数和签署</w:t>
      </w:r>
      <w:bookmarkEnd w:id="183"/>
      <w:bookmarkEnd w:id="184"/>
      <w:bookmarkEnd w:id="185"/>
      <w:bookmarkEnd w:id="186"/>
      <w:bookmarkEnd w:id="187"/>
      <w:bookmarkEnd w:id="198"/>
      <w:bookmarkEnd w:id="199"/>
      <w:bookmarkEnd w:id="200"/>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投标人按本须知前附表第14项规定的份数递交投标文件。</w:t>
      </w:r>
    </w:p>
    <w:p>
      <w:pPr>
        <w:pStyle w:val="2"/>
        <w:numPr>
          <w:ilvl w:val="1"/>
          <w:numId w:val="2"/>
        </w:numPr>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招标文件附件中注明由投标人法定代表人亲自签署或印鉴、并加盖法人单位公章的，投标人均按要求签章。</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当正本与副本不一致时，以正本为准。如未注明正副本的，由评标小组或工作人员随机抽签确认一本作为正本。</w:t>
      </w:r>
    </w:p>
    <w:p>
      <w:pPr>
        <w:pStyle w:val="4"/>
        <w:spacing w:line="260" w:lineRule="exact"/>
        <w:rPr>
          <w:rFonts w:hint="default" w:ascii="Times New Roman" w:hAnsi="Times New Roman" w:cs="Times New Roman"/>
          <w:color w:val="auto"/>
          <w:highlight w:val="none"/>
        </w:rPr>
      </w:pPr>
      <w:bookmarkStart w:id="201" w:name="_Toc243707009"/>
      <w:bookmarkStart w:id="202" w:name="_Toc31936"/>
      <w:bookmarkStart w:id="203" w:name="_Toc427132985"/>
      <w:bookmarkStart w:id="204" w:name="_Toc243708850"/>
      <w:bookmarkStart w:id="205" w:name="_Toc500209417"/>
      <w:bookmarkStart w:id="206" w:name="_Toc500208480"/>
      <w:r>
        <w:rPr>
          <w:rFonts w:hint="default" w:ascii="Times New Roman" w:hAnsi="Times New Roman" w:cs="Times New Roman"/>
          <w:color w:val="auto"/>
          <w:highlight w:val="none"/>
        </w:rPr>
        <w:t>第四节  投标文件的递交</w:t>
      </w:r>
      <w:bookmarkEnd w:id="201"/>
      <w:bookmarkEnd w:id="202"/>
      <w:bookmarkEnd w:id="203"/>
      <w:bookmarkEnd w:id="204"/>
      <w:bookmarkEnd w:id="205"/>
      <w:bookmarkEnd w:id="206"/>
    </w:p>
    <w:p>
      <w:pPr>
        <w:pStyle w:val="5"/>
        <w:rPr>
          <w:rFonts w:hint="default" w:ascii="Times New Roman" w:hAnsi="Times New Roman" w:cs="Times New Roman"/>
          <w:color w:val="auto"/>
          <w:highlight w:val="none"/>
        </w:rPr>
      </w:pPr>
      <w:bookmarkStart w:id="207" w:name="_Toc331149309"/>
      <w:bookmarkStart w:id="208" w:name="_Toc500208481"/>
      <w:bookmarkStart w:id="209" w:name="_Toc243707010"/>
      <w:bookmarkStart w:id="210" w:name="_Toc243708851"/>
      <w:bookmarkStart w:id="211" w:name="_Toc243713910"/>
      <w:bookmarkStart w:id="212" w:name="_Toc427131723"/>
      <w:bookmarkStart w:id="213" w:name="_Toc427132986"/>
      <w:bookmarkStart w:id="214" w:name="_Toc32265"/>
      <w:r>
        <w:rPr>
          <w:rFonts w:hint="default" w:ascii="Times New Roman" w:hAnsi="Times New Roman" w:cs="Times New Roman"/>
          <w:color w:val="auto"/>
          <w:highlight w:val="none"/>
        </w:rPr>
        <w:t>投标文件的装订、密封与标志</w:t>
      </w:r>
      <w:bookmarkEnd w:id="207"/>
      <w:bookmarkEnd w:id="208"/>
      <w:bookmarkEnd w:id="209"/>
      <w:bookmarkEnd w:id="210"/>
      <w:bookmarkEnd w:id="211"/>
      <w:bookmarkEnd w:id="212"/>
      <w:bookmarkEnd w:id="213"/>
      <w:bookmarkEnd w:id="21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投标人应将投标文件按规定密封，并注明项目名称、投标人名称及标函名称。</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密封要求：密封袋封口处加盖单位公章或法人代表或委托代理人印章或签字。</w:t>
      </w:r>
    </w:p>
    <w:p>
      <w:pPr>
        <w:pStyle w:val="2"/>
        <w:numPr>
          <w:ilvl w:val="1"/>
          <w:numId w:val="2"/>
        </w:numPr>
        <w:spacing w:line="264" w:lineRule="auto"/>
        <w:ind w:firstLine="420" w:firstLineChars="200"/>
        <w:rPr>
          <w:rFonts w:hint="default" w:ascii="Times New Roman" w:hAnsi="Times New Roman" w:cs="Times New Roman"/>
          <w:b/>
          <w:bCs/>
          <w:color w:val="auto"/>
          <w:highlight w:val="none"/>
        </w:rPr>
      </w:pPr>
      <w:r>
        <w:rPr>
          <w:rFonts w:hint="default" w:ascii="Times New Roman" w:hAnsi="Times New Roman" w:cs="Times New Roman"/>
          <w:bCs/>
          <w:color w:val="auto"/>
          <w:highlight w:val="none"/>
        </w:rPr>
        <w:t>投标文件的密封及装订要求详见本须知前附表第15项。</w:t>
      </w:r>
    </w:p>
    <w:p>
      <w:pPr>
        <w:pStyle w:val="5"/>
        <w:rPr>
          <w:rFonts w:hint="default" w:ascii="Times New Roman" w:hAnsi="Times New Roman" w:cs="Times New Roman"/>
          <w:color w:val="auto"/>
          <w:highlight w:val="none"/>
        </w:rPr>
      </w:pPr>
      <w:bookmarkStart w:id="215" w:name="_Toc243707011"/>
      <w:bookmarkStart w:id="216" w:name="_Toc155342552"/>
      <w:bookmarkStart w:id="217" w:name="_Toc427132987"/>
      <w:bookmarkStart w:id="218" w:name="_Toc331149310"/>
      <w:bookmarkStart w:id="219" w:name="_Toc243713911"/>
      <w:bookmarkStart w:id="220" w:name="_Toc14544"/>
      <w:bookmarkStart w:id="221" w:name="_Toc243708852"/>
      <w:bookmarkStart w:id="222" w:name="_Toc169487799"/>
      <w:bookmarkStart w:id="223" w:name="_Toc427131724"/>
      <w:bookmarkStart w:id="224" w:name="_Toc500208482"/>
      <w:bookmarkStart w:id="225" w:name="_Toc500208483"/>
      <w:r>
        <w:rPr>
          <w:rFonts w:hint="default" w:ascii="Times New Roman" w:hAnsi="Times New Roman" w:cs="Times New Roman"/>
          <w:color w:val="auto"/>
          <w:highlight w:val="none"/>
        </w:rPr>
        <w:t>投标文件的递交</w:t>
      </w:r>
      <w:bookmarkEnd w:id="215"/>
      <w:bookmarkEnd w:id="216"/>
      <w:bookmarkEnd w:id="217"/>
      <w:bookmarkEnd w:id="218"/>
      <w:bookmarkEnd w:id="219"/>
      <w:bookmarkEnd w:id="220"/>
      <w:bookmarkEnd w:id="221"/>
      <w:bookmarkEnd w:id="222"/>
      <w:bookmarkEnd w:id="223"/>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投标人应按本须知前附表第16项规定的地点，在本须知前附表第17项规定的截止时间前提交投标文件。</w:t>
      </w:r>
    </w:p>
    <w:p>
      <w:pPr>
        <w:pStyle w:val="2"/>
        <w:numPr>
          <w:ilvl w:val="1"/>
          <w:numId w:val="2"/>
        </w:numPr>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投标人提交投标文件时需同时满足本须知前附表第18项要求，否则该投标文件予以拒收。</w:t>
      </w:r>
    </w:p>
    <w:p>
      <w:pPr>
        <w:pStyle w:val="5"/>
        <w:rPr>
          <w:rFonts w:hint="default" w:ascii="Times New Roman" w:hAnsi="Times New Roman" w:cs="Times New Roman"/>
          <w:color w:val="auto"/>
          <w:highlight w:val="none"/>
        </w:rPr>
      </w:pPr>
      <w:bookmarkStart w:id="226" w:name="_Toc243708853"/>
      <w:bookmarkStart w:id="227" w:name="_Toc427131725"/>
      <w:bookmarkStart w:id="228" w:name="_Toc169487800"/>
      <w:bookmarkStart w:id="229" w:name="_Toc155342553"/>
      <w:bookmarkStart w:id="230" w:name="_Toc331149311"/>
      <w:bookmarkStart w:id="231" w:name="_Toc427132988"/>
      <w:bookmarkStart w:id="232" w:name="_Toc29641"/>
      <w:bookmarkStart w:id="233" w:name="_Toc243707012"/>
      <w:bookmarkStart w:id="234" w:name="_Toc243713912"/>
      <w:r>
        <w:rPr>
          <w:rFonts w:hint="default" w:ascii="Times New Roman" w:hAnsi="Times New Roman" w:cs="Times New Roman"/>
          <w:color w:val="auto"/>
          <w:highlight w:val="none"/>
        </w:rPr>
        <w:t>投标截止期</w:t>
      </w:r>
      <w:bookmarkEnd w:id="224"/>
      <w:bookmarkEnd w:id="226"/>
      <w:bookmarkEnd w:id="227"/>
      <w:bookmarkEnd w:id="228"/>
      <w:bookmarkEnd w:id="229"/>
      <w:bookmarkEnd w:id="230"/>
      <w:bookmarkEnd w:id="231"/>
      <w:bookmarkEnd w:id="232"/>
      <w:bookmarkEnd w:id="233"/>
      <w:bookmarkEnd w:id="234"/>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投标文件的截止时间详见本须知前附表第17项。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招标人可以补充通知的方式，酌情延长提交投标文件的截止时间。在此情况下，投标人的所有权利和义务以及投标人受制约的截止时间，均以延长后新的投标截止时间为准。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到投标截止时间止，招标人收到的投标文件少于3个的，招标人将重新组织招标。</w:t>
      </w:r>
    </w:p>
    <w:p>
      <w:pPr>
        <w:pStyle w:val="5"/>
        <w:rPr>
          <w:rFonts w:hint="default" w:ascii="Times New Roman" w:hAnsi="Times New Roman" w:cs="Times New Roman"/>
          <w:color w:val="auto"/>
          <w:highlight w:val="none"/>
        </w:rPr>
      </w:pPr>
      <w:bookmarkStart w:id="235" w:name="_Toc331149312"/>
      <w:bookmarkStart w:id="236" w:name="_Toc427131726"/>
      <w:bookmarkStart w:id="237" w:name="_Toc19294"/>
      <w:bookmarkStart w:id="238" w:name="_Toc243707013"/>
      <w:bookmarkStart w:id="239" w:name="_Toc243713913"/>
      <w:bookmarkStart w:id="240" w:name="_Toc243708854"/>
      <w:bookmarkStart w:id="241" w:name="_Toc427132989"/>
      <w:r>
        <w:rPr>
          <w:rFonts w:hint="default" w:ascii="Times New Roman" w:hAnsi="Times New Roman" w:cs="Times New Roman"/>
          <w:color w:val="auto"/>
          <w:highlight w:val="none"/>
        </w:rPr>
        <w:t>投标文件的补充、修改与撤回</w:t>
      </w:r>
      <w:bookmarkEnd w:id="225"/>
      <w:bookmarkEnd w:id="235"/>
      <w:bookmarkEnd w:id="236"/>
      <w:bookmarkEnd w:id="237"/>
      <w:bookmarkEnd w:id="238"/>
      <w:bookmarkEnd w:id="239"/>
      <w:bookmarkEnd w:id="240"/>
      <w:bookmarkEnd w:id="241"/>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投标人在提交投标文件以后，在规定的投标截止时间之前，可以书面形式补充修改或撤回已提交的投标文件，并以书面形式通知招标人。补充、修改的内容为投标文件的组成部分。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投标人对投标文件的补充、修改，应按本节有关投标文件规定密封、标记和提交，并在投标文件密封袋上清楚标明“补充、修改”或“撤回”字样。</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在投标截止时间之后，投标人不得补充、修改投标文件。</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在投标截止时间至投标有效期满之前，投标人不得撤回其投标文件，否则其投标担保将被没收。</w:t>
      </w:r>
    </w:p>
    <w:p>
      <w:pPr>
        <w:pStyle w:val="4"/>
        <w:spacing w:line="260" w:lineRule="exact"/>
        <w:rPr>
          <w:rFonts w:hint="default" w:ascii="Times New Roman" w:hAnsi="Times New Roman" w:cs="Times New Roman"/>
          <w:color w:val="auto"/>
          <w:highlight w:val="none"/>
        </w:rPr>
      </w:pPr>
      <w:bookmarkStart w:id="242" w:name="_Toc500208484"/>
      <w:bookmarkStart w:id="243" w:name="_Toc3024"/>
      <w:bookmarkStart w:id="244" w:name="_Toc500209418"/>
      <w:bookmarkStart w:id="245" w:name="_Toc243708855"/>
      <w:bookmarkStart w:id="246" w:name="_Toc243707014"/>
      <w:bookmarkStart w:id="247" w:name="_Toc427132990"/>
      <w:r>
        <w:rPr>
          <w:rFonts w:hint="default" w:ascii="Times New Roman" w:hAnsi="Times New Roman" w:cs="Times New Roman"/>
          <w:color w:val="auto"/>
          <w:highlight w:val="none"/>
        </w:rPr>
        <w:t>第五节  开   标</w:t>
      </w:r>
      <w:bookmarkEnd w:id="242"/>
      <w:bookmarkEnd w:id="243"/>
      <w:bookmarkEnd w:id="244"/>
      <w:bookmarkEnd w:id="245"/>
      <w:bookmarkEnd w:id="246"/>
      <w:bookmarkEnd w:id="247"/>
    </w:p>
    <w:p>
      <w:pPr>
        <w:pStyle w:val="5"/>
        <w:rPr>
          <w:rFonts w:hint="default" w:ascii="Times New Roman" w:hAnsi="Times New Roman" w:cs="Times New Roman"/>
          <w:color w:val="auto"/>
          <w:highlight w:val="none"/>
        </w:rPr>
      </w:pPr>
      <w:bookmarkStart w:id="248" w:name="_Toc243713915"/>
      <w:bookmarkStart w:id="249" w:name="_Toc243707015"/>
      <w:bookmarkStart w:id="250" w:name="_Toc331149314"/>
      <w:bookmarkStart w:id="251" w:name="_Toc427132991"/>
      <w:bookmarkStart w:id="252" w:name="_Toc243708856"/>
      <w:bookmarkStart w:id="253" w:name="_Toc4829"/>
      <w:bookmarkStart w:id="254" w:name="_Toc500208485"/>
      <w:bookmarkStart w:id="255" w:name="_Toc427131728"/>
      <w:r>
        <w:rPr>
          <w:rFonts w:hint="default" w:ascii="Times New Roman" w:hAnsi="Times New Roman" w:cs="Times New Roman"/>
          <w:color w:val="auto"/>
          <w:highlight w:val="none"/>
        </w:rPr>
        <w:t>开标</w:t>
      </w:r>
      <w:bookmarkEnd w:id="248"/>
      <w:bookmarkEnd w:id="249"/>
      <w:bookmarkEnd w:id="250"/>
      <w:bookmarkEnd w:id="251"/>
      <w:bookmarkEnd w:id="252"/>
      <w:bookmarkEnd w:id="253"/>
      <w:bookmarkEnd w:id="254"/>
      <w:bookmarkEnd w:id="25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招标人将于投标截止期的同一时间按本须知前附表第16项所规定的地点公开举行开标会议。</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开标会议由招标人组织并主持。</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开标顺序</w:t>
      </w:r>
      <w:r>
        <w:rPr>
          <w:rFonts w:hint="default" w:ascii="Times New Roman" w:hAnsi="Times New Roman" w:cs="Times New Roman"/>
          <w:bCs/>
          <w:color w:val="auto"/>
          <w:highlight w:val="none"/>
        </w:rPr>
        <w:t>详见本须知前附表第19项。</w:t>
      </w:r>
    </w:p>
    <w:p>
      <w:pPr>
        <w:pStyle w:val="5"/>
        <w:rPr>
          <w:rFonts w:hint="default" w:ascii="Times New Roman" w:hAnsi="Times New Roman" w:cs="Times New Roman"/>
          <w:color w:val="auto"/>
          <w:highlight w:val="none"/>
        </w:rPr>
      </w:pPr>
      <w:bookmarkStart w:id="256" w:name="_Toc2747"/>
      <w:bookmarkStart w:id="257" w:name="_Toc331149315"/>
      <w:bookmarkStart w:id="258" w:name="_Toc243707016"/>
      <w:bookmarkStart w:id="259" w:name="_Toc427132992"/>
      <w:bookmarkStart w:id="260" w:name="_Toc243708857"/>
      <w:bookmarkStart w:id="261" w:name="_Toc243713916"/>
      <w:bookmarkStart w:id="262" w:name="_Toc427131729"/>
      <w:r>
        <w:rPr>
          <w:rFonts w:hint="default" w:ascii="Times New Roman" w:hAnsi="Times New Roman" w:cs="Times New Roman"/>
          <w:color w:val="auto"/>
          <w:highlight w:val="none"/>
        </w:rPr>
        <w:t>投标文件公布</w:t>
      </w:r>
      <w:bookmarkEnd w:id="256"/>
      <w:bookmarkEnd w:id="257"/>
      <w:bookmarkEnd w:id="258"/>
      <w:bookmarkEnd w:id="259"/>
      <w:bookmarkEnd w:id="260"/>
      <w:bookmarkEnd w:id="261"/>
      <w:bookmarkEnd w:id="262"/>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由投标人或其推选的代表检查投标文件的密封情况，未按本招标文件要求密封的投标文件则退还投标人，经确认无误后，由有关工作人员当众拆封，宣读投标承诺的主要内容。</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招标人将对开标过程进行记录，以存档备查。</w:t>
      </w:r>
    </w:p>
    <w:p>
      <w:pPr>
        <w:pStyle w:val="4"/>
        <w:spacing w:line="260" w:lineRule="exact"/>
        <w:rPr>
          <w:rFonts w:hint="default" w:ascii="Times New Roman" w:hAnsi="Times New Roman" w:cs="Times New Roman"/>
          <w:color w:val="auto"/>
          <w:highlight w:val="none"/>
        </w:rPr>
      </w:pPr>
      <w:bookmarkStart w:id="263" w:name="_Toc500209419"/>
      <w:bookmarkStart w:id="264" w:name="_Toc500208488"/>
      <w:bookmarkStart w:id="265" w:name="_Toc427132993"/>
      <w:bookmarkStart w:id="266" w:name="_Toc2435"/>
      <w:bookmarkStart w:id="267" w:name="_Toc243708858"/>
      <w:bookmarkStart w:id="268" w:name="_Toc243707017"/>
      <w:bookmarkStart w:id="269" w:name="_Toc500208495"/>
      <w:bookmarkStart w:id="270" w:name="_Toc500209420"/>
      <w:r>
        <w:rPr>
          <w:rFonts w:hint="default" w:ascii="Times New Roman" w:hAnsi="Times New Roman" w:cs="Times New Roman"/>
          <w:color w:val="auto"/>
          <w:highlight w:val="none"/>
        </w:rPr>
        <w:t>第六节  评   标</w:t>
      </w:r>
      <w:bookmarkEnd w:id="263"/>
      <w:bookmarkEnd w:id="264"/>
      <w:bookmarkEnd w:id="265"/>
      <w:bookmarkEnd w:id="266"/>
      <w:bookmarkEnd w:id="267"/>
      <w:bookmarkEnd w:id="268"/>
    </w:p>
    <w:p>
      <w:pPr>
        <w:pStyle w:val="5"/>
        <w:rPr>
          <w:rFonts w:hint="default" w:ascii="Times New Roman" w:hAnsi="Times New Roman" w:cs="Times New Roman"/>
          <w:color w:val="auto"/>
          <w:highlight w:val="none"/>
        </w:rPr>
      </w:pPr>
      <w:bookmarkStart w:id="271" w:name="_Toc427132994"/>
      <w:bookmarkStart w:id="272" w:name="_Toc427131731"/>
      <w:bookmarkStart w:id="273" w:name="_Toc500208489"/>
      <w:bookmarkStart w:id="274" w:name="_Toc331149317"/>
      <w:bookmarkStart w:id="275" w:name="_Toc29108"/>
      <w:bookmarkStart w:id="276" w:name="_Toc243713918"/>
      <w:bookmarkStart w:id="277" w:name="_Toc243707018"/>
      <w:bookmarkStart w:id="278" w:name="_Toc243708859"/>
      <w:r>
        <w:rPr>
          <w:rFonts w:hint="default" w:ascii="Times New Roman" w:hAnsi="Times New Roman" w:cs="Times New Roman"/>
          <w:color w:val="auto"/>
          <w:highlight w:val="none"/>
        </w:rPr>
        <w:t>评标会议</w:t>
      </w:r>
      <w:bookmarkEnd w:id="271"/>
      <w:bookmarkEnd w:id="272"/>
      <w:bookmarkEnd w:id="273"/>
      <w:bookmarkEnd w:id="274"/>
      <w:bookmarkEnd w:id="275"/>
      <w:bookmarkEnd w:id="276"/>
      <w:bookmarkEnd w:id="277"/>
      <w:bookmarkEnd w:id="278"/>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评标小组由招标人依法组建，负责评标活动。</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开标结束后，开始评标，评标采用保密方式进行。</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评审开始前，评标小组成员须签署《公正评标承诺书》。</w:t>
      </w:r>
    </w:p>
    <w:p>
      <w:pPr>
        <w:pStyle w:val="5"/>
        <w:rPr>
          <w:rFonts w:hint="default" w:ascii="Times New Roman" w:hAnsi="Times New Roman" w:cs="Times New Roman"/>
          <w:color w:val="auto"/>
          <w:highlight w:val="none"/>
        </w:rPr>
      </w:pPr>
      <w:bookmarkStart w:id="279" w:name="_Toc427132995"/>
      <w:bookmarkStart w:id="280" w:name="_Toc427131732"/>
      <w:bookmarkStart w:id="281" w:name="_Toc331149318"/>
      <w:bookmarkStart w:id="282" w:name="_Toc243707019"/>
      <w:bookmarkStart w:id="283" w:name="_Toc1141"/>
      <w:bookmarkStart w:id="284" w:name="_Toc243708860"/>
      <w:bookmarkStart w:id="285" w:name="_Toc243713919"/>
      <w:r>
        <w:rPr>
          <w:rFonts w:hint="default" w:ascii="Times New Roman" w:hAnsi="Times New Roman" w:cs="Times New Roman"/>
          <w:color w:val="auto"/>
          <w:highlight w:val="none"/>
        </w:rPr>
        <w:t>评标过程的保密</w:t>
      </w:r>
      <w:bookmarkEnd w:id="279"/>
      <w:bookmarkEnd w:id="280"/>
      <w:bookmarkEnd w:id="281"/>
      <w:bookmarkEnd w:id="282"/>
      <w:bookmarkEnd w:id="283"/>
      <w:bookmarkEnd w:id="284"/>
      <w:bookmarkEnd w:id="285"/>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开标后，直至授予中标人合同为止，凡属于对投标文件的审查、澄清、评价和比较的有关资料以及中标候选人的推荐情况，与评标有关的其他任何情况均严格保密。</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在投标文件的评审和比较、中标候选人推荐以及授予合同的过程中，投标人向招标人和评标小组施加影响的任何行为，都将会导致其投标被拒绝。</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中标人确定后，招标人不对未中标人就评标过程以及未能中标原因作出任何解释。未中标人不得向评标小组组成人员或其他有关人员索问评标过程的情况和材料。</w:t>
      </w:r>
    </w:p>
    <w:p>
      <w:pPr>
        <w:pStyle w:val="5"/>
        <w:rPr>
          <w:rFonts w:hint="default" w:ascii="Times New Roman" w:hAnsi="Times New Roman" w:cs="Times New Roman"/>
          <w:color w:val="auto"/>
          <w:highlight w:val="none"/>
        </w:rPr>
      </w:pPr>
      <w:bookmarkStart w:id="286" w:name="_Toc331149319"/>
      <w:bookmarkStart w:id="287" w:name="_Toc243707020"/>
      <w:bookmarkStart w:id="288" w:name="_Toc427132996"/>
      <w:bookmarkStart w:id="289" w:name="_Toc243708861"/>
      <w:bookmarkStart w:id="290" w:name="_Toc243713920"/>
      <w:bookmarkStart w:id="291" w:name="_Toc16231"/>
      <w:bookmarkStart w:id="292" w:name="_Toc427131733"/>
      <w:r>
        <w:rPr>
          <w:rFonts w:hint="default" w:ascii="Times New Roman" w:hAnsi="Times New Roman" w:cs="Times New Roman"/>
          <w:color w:val="auto"/>
          <w:highlight w:val="none"/>
        </w:rPr>
        <w:t>投标文件符合性鉴定</w:t>
      </w:r>
      <w:bookmarkEnd w:id="286"/>
      <w:bookmarkEnd w:id="287"/>
      <w:bookmarkEnd w:id="288"/>
      <w:bookmarkEnd w:id="289"/>
      <w:bookmarkEnd w:id="290"/>
      <w:bookmarkEnd w:id="291"/>
      <w:bookmarkEnd w:id="292"/>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将首先评定每份投标文件是否在实质上响应了招标文件的要求。所谓实质上响应，是指投标文件应与招标文件的所有实质性条款、条件和要求相符，无显著差异或保留。实质性内容包括投标承诺书是否按招标文件要求编制，总报价、投标资格等实质内容的承诺是否响应招标文件要求等。投标文件是否响应招标文件实质性内容由评标小组界定。</w:t>
      </w:r>
    </w:p>
    <w:p>
      <w:pPr>
        <w:pStyle w:val="2"/>
        <w:numPr>
          <w:ilvl w:val="1"/>
          <w:numId w:val="2"/>
        </w:numPr>
        <w:spacing w:line="264" w:lineRule="auto"/>
        <w:ind w:left="149"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如果投标文件实质上不响应招标文件各项要求，评标小组将予以拒绝，并且不允许投标人通过修改或撤消其不符合要求的差异或保留，使之成为具有响应性的投标。</w:t>
      </w:r>
    </w:p>
    <w:p>
      <w:pPr>
        <w:pStyle w:val="5"/>
        <w:rPr>
          <w:rFonts w:hint="default" w:ascii="Times New Roman" w:hAnsi="Times New Roman" w:cs="Times New Roman"/>
          <w:color w:val="auto"/>
          <w:highlight w:val="none"/>
        </w:rPr>
      </w:pPr>
      <w:bookmarkStart w:id="293" w:name="_Toc427131734"/>
      <w:bookmarkStart w:id="294" w:name="_Toc243708862"/>
      <w:bookmarkStart w:id="295" w:name="_Toc243713921"/>
      <w:bookmarkStart w:id="296" w:name="_Toc30049"/>
      <w:bookmarkStart w:id="297" w:name="_Toc243707021"/>
      <w:bookmarkStart w:id="298" w:name="_Toc427132997"/>
      <w:bookmarkStart w:id="299" w:name="_Toc331149320"/>
      <w:r>
        <w:rPr>
          <w:rFonts w:hint="default" w:ascii="Times New Roman" w:hAnsi="Times New Roman" w:cs="Times New Roman"/>
          <w:color w:val="auto"/>
          <w:highlight w:val="none"/>
        </w:rPr>
        <w:t>投标文件的澄清</w:t>
      </w:r>
      <w:bookmarkEnd w:id="293"/>
      <w:bookmarkEnd w:id="294"/>
      <w:bookmarkEnd w:id="295"/>
      <w:bookmarkEnd w:id="296"/>
      <w:bookmarkEnd w:id="297"/>
      <w:bookmarkEnd w:id="298"/>
      <w:bookmarkEnd w:id="29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小组在评标中发现的算术错误进行核实的修改不在此列。</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评审过程中，评标小组可能以书面或电话形式通知投标人要求投标人就投标文件中的内容进行</w:t>
      </w:r>
      <w:r>
        <w:rPr>
          <w:rFonts w:hint="default" w:ascii="Times New Roman" w:hAnsi="Times New Roman" w:cs="Times New Roman"/>
          <w:color w:val="auto"/>
          <w:szCs w:val="21"/>
          <w:highlight w:val="none"/>
        </w:rPr>
        <w:t>澄清或说明</w:t>
      </w:r>
      <w:r>
        <w:rPr>
          <w:rFonts w:hint="default" w:ascii="Times New Roman" w:hAnsi="Times New Roman" w:cs="Times New Roman"/>
          <w:color w:val="auto"/>
          <w:highlight w:val="none"/>
        </w:rPr>
        <w:t>。投标人应在接到询标通知后30分钟内作出答复，若在规定时间内未作出答复的，</w:t>
      </w:r>
      <w:r>
        <w:rPr>
          <w:rFonts w:hint="default" w:ascii="Times New Roman" w:hAnsi="Times New Roman" w:cs="Times New Roman"/>
          <w:color w:val="auto"/>
          <w:szCs w:val="21"/>
          <w:highlight w:val="none"/>
        </w:rPr>
        <w:t>可视作拒绝或放弃澄清或说明。</w:t>
      </w:r>
    </w:p>
    <w:p>
      <w:pPr>
        <w:pStyle w:val="5"/>
        <w:rPr>
          <w:rFonts w:hint="default" w:ascii="Times New Roman" w:hAnsi="Times New Roman" w:cs="Times New Roman"/>
          <w:color w:val="auto"/>
          <w:highlight w:val="none"/>
        </w:rPr>
      </w:pPr>
      <w:bookmarkStart w:id="300" w:name="_Toc427132998"/>
      <w:bookmarkStart w:id="301" w:name="_Toc243713922"/>
      <w:bookmarkStart w:id="302" w:name="_Toc243707022"/>
      <w:bookmarkStart w:id="303" w:name="_Toc7602"/>
      <w:bookmarkStart w:id="304" w:name="_Toc427131735"/>
      <w:bookmarkStart w:id="305" w:name="_Toc331149321"/>
      <w:bookmarkStart w:id="306" w:name="_Toc243708863"/>
      <w:r>
        <w:rPr>
          <w:rFonts w:hint="default" w:ascii="Times New Roman" w:hAnsi="Times New Roman" w:cs="Times New Roman"/>
          <w:color w:val="auto"/>
          <w:highlight w:val="none"/>
        </w:rPr>
        <w:t>投标文件的评审</w:t>
      </w:r>
      <w:bookmarkEnd w:id="300"/>
      <w:bookmarkEnd w:id="301"/>
      <w:bookmarkEnd w:id="302"/>
      <w:bookmarkEnd w:id="303"/>
      <w:bookmarkEnd w:id="304"/>
      <w:bookmarkEnd w:id="305"/>
      <w:bookmarkEnd w:id="306"/>
    </w:p>
    <w:p>
      <w:pPr>
        <w:pStyle w:val="6"/>
        <w:spacing w:line="264" w:lineRule="auto"/>
        <w:ind w:firstLineChars="200"/>
        <w:rPr>
          <w:rFonts w:hint="default" w:ascii="Times New Roman" w:hAnsi="Times New Roman" w:cs="Times New Roman"/>
          <w:color w:val="auto"/>
          <w:highlight w:val="none"/>
        </w:rPr>
      </w:pPr>
      <w:r>
        <w:rPr>
          <w:rFonts w:hint="default" w:ascii="Times New Roman" w:hAnsi="Times New Roman" w:eastAsia="宋体" w:cs="Times New Roman"/>
          <w:color w:val="auto"/>
          <w:sz w:val="21"/>
          <w:highlight w:val="none"/>
        </w:rPr>
        <w:t>30.1投标文件有下列情形之一的，由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初审后按无效标处理：</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投标人递交两份或多份内容不同的投标文件，或在一份投标文件中对同一招标项目报有两个或多个报价，且未声明哪一个有效，按招标文件规定提交备选投标方案的除外；</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投标文件未按招标文件签署条款要求签章的；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投标文件份数不符合招标文件前附表要求的；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投标文件组成不符合招标文件要求的；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eastAsia" w:ascii="Times New Roman" w:hAnsi="Times New Roman" w:eastAsia="黑体" w:cs="Times New Roman"/>
          <w:b/>
          <w:bCs/>
          <w:color w:val="auto"/>
          <w:sz w:val="21"/>
          <w:highlight w:val="none"/>
          <w:lang w:eastAsia="zh-CN"/>
        </w:rPr>
        <w:t>资信</w:t>
      </w:r>
      <w:r>
        <w:rPr>
          <w:rFonts w:hint="default" w:ascii="Times New Roman" w:hAnsi="Times New Roman" w:eastAsia="黑体" w:cs="Times New Roman"/>
          <w:b/>
          <w:bCs/>
          <w:color w:val="auto"/>
          <w:sz w:val="21"/>
          <w:highlight w:val="none"/>
        </w:rPr>
        <w:t>技术标的装订或编制不符合招标文件规定要求的；</w:t>
      </w:r>
    </w:p>
    <w:p>
      <w:pPr>
        <w:pStyle w:val="6"/>
        <w:numPr>
          <w:ilvl w:val="0"/>
          <w:numId w:val="3"/>
        </w:numPr>
        <w:spacing w:line="264" w:lineRule="auto"/>
        <w:ind w:left="0"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法律法规规定无效标的。</w:t>
      </w:r>
    </w:p>
    <w:p>
      <w:pPr>
        <w:pStyle w:val="6"/>
        <w:spacing w:line="264" w:lineRule="auto"/>
        <w:ind w:firstLine="422" w:firstLineChars="200"/>
        <w:rPr>
          <w:rFonts w:hint="default" w:ascii="Times New Roman" w:hAnsi="Times New Roman" w:eastAsia="宋体" w:cs="Times New Roman"/>
          <w:color w:val="auto"/>
          <w:sz w:val="21"/>
          <w:highlight w:val="none"/>
        </w:rPr>
      </w:pPr>
      <w:r>
        <w:rPr>
          <w:rFonts w:hint="default" w:ascii="Times New Roman" w:hAnsi="Times New Roman" w:eastAsia="黑体" w:cs="Times New Roman"/>
          <w:b/>
          <w:bCs/>
          <w:color w:val="auto"/>
          <w:sz w:val="21"/>
          <w:highlight w:val="none"/>
        </w:rPr>
        <w:t>30.2</w:t>
      </w:r>
      <w:r>
        <w:rPr>
          <w:rFonts w:hint="default" w:ascii="Times New Roman" w:hAnsi="Times New Roman" w:eastAsia="宋体" w:cs="Times New Roman"/>
          <w:color w:val="auto"/>
          <w:sz w:val="21"/>
          <w:highlight w:val="none"/>
        </w:rPr>
        <w:t>投标文件有下列情形之一的，由</w:t>
      </w:r>
      <w:r>
        <w:rPr>
          <w:rFonts w:hint="default" w:ascii="Times New Roman" w:hAnsi="Times New Roman" w:eastAsia="宋体" w:cs="Times New Roman"/>
          <w:color w:val="auto"/>
          <w:sz w:val="21"/>
          <w:highlight w:val="none"/>
          <w:lang w:eastAsia="zh-CN"/>
        </w:rPr>
        <w:t>评标小组</w:t>
      </w:r>
      <w:r>
        <w:rPr>
          <w:rFonts w:hint="default" w:ascii="Times New Roman" w:hAnsi="Times New Roman" w:eastAsia="宋体" w:cs="Times New Roman"/>
          <w:color w:val="auto"/>
          <w:sz w:val="21"/>
          <w:highlight w:val="none"/>
        </w:rPr>
        <w:t>进行实质性评审后按无效标处理：</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（1）  投标承诺的总报价、投标资格等不符合招标文件前附表要求的；</w:t>
      </w:r>
    </w:p>
    <w:p>
      <w:pPr>
        <w:pStyle w:val="6"/>
        <w:spacing w:line="264" w:lineRule="auto"/>
        <w:ind w:firstLine="422" w:firstLineChars="200"/>
        <w:rPr>
          <w:rFonts w:hint="default" w:ascii="Times New Roman" w:hAnsi="Times New Roman" w:eastAsia="黑体" w:cs="Times New Roman"/>
          <w:b/>
          <w:bCs/>
          <w:color w:val="auto"/>
          <w:sz w:val="21"/>
          <w:highlight w:val="none"/>
        </w:rPr>
      </w:pPr>
      <w:r>
        <w:rPr>
          <w:rFonts w:hint="default" w:ascii="Times New Roman" w:hAnsi="Times New Roman" w:eastAsia="黑体" w:cs="Times New Roman"/>
          <w:b/>
          <w:bCs/>
          <w:color w:val="auto"/>
          <w:sz w:val="21"/>
          <w:highlight w:val="none"/>
        </w:rPr>
        <w:t>（2）  违反招标文件其他实质性条款规定的。</w:t>
      </w:r>
    </w:p>
    <w:p>
      <w:pPr>
        <w:pStyle w:val="6"/>
        <w:spacing w:line="264" w:lineRule="auto"/>
        <w:ind w:firstLine="422" w:firstLineChars="200"/>
        <w:rPr>
          <w:rFonts w:hint="default" w:ascii="Times New Roman" w:hAnsi="Times New Roman" w:eastAsia="宋体" w:cs="Times New Roman"/>
          <w:color w:val="auto"/>
          <w:sz w:val="21"/>
          <w:szCs w:val="21"/>
          <w:highlight w:val="none"/>
        </w:rPr>
      </w:pPr>
      <w:r>
        <w:rPr>
          <w:rFonts w:hint="default" w:ascii="Times New Roman" w:hAnsi="Times New Roman" w:eastAsia="黑体" w:cs="Times New Roman"/>
          <w:b/>
          <w:bCs/>
          <w:color w:val="auto"/>
          <w:sz w:val="21"/>
          <w:highlight w:val="none"/>
        </w:rPr>
        <w:t>30.3</w:t>
      </w:r>
      <w:r>
        <w:rPr>
          <w:rFonts w:hint="default" w:ascii="Times New Roman" w:hAnsi="Times New Roman" w:eastAsia="宋体" w:cs="Times New Roman"/>
          <w:color w:val="auto"/>
          <w:sz w:val="21"/>
          <w:highlight w:val="none"/>
        </w:rPr>
        <w:t>投标文件有下列情形之一的，</w:t>
      </w:r>
      <w:r>
        <w:rPr>
          <w:rFonts w:hint="default" w:ascii="Times New Roman" w:hAnsi="Times New Roman" w:eastAsia="宋体" w:cs="Times New Roman"/>
          <w:color w:val="auto"/>
          <w:sz w:val="21"/>
          <w:szCs w:val="21"/>
          <w:highlight w:val="none"/>
        </w:rPr>
        <w:t>经</w:t>
      </w:r>
      <w:r>
        <w:rPr>
          <w:rFonts w:hint="default" w:ascii="Times New Roman" w:hAnsi="Times New Roman" w:eastAsia="宋体" w:cs="Times New Roman"/>
          <w:color w:val="auto"/>
          <w:sz w:val="21"/>
          <w:szCs w:val="21"/>
          <w:highlight w:val="none"/>
          <w:lang w:eastAsia="zh-CN"/>
        </w:rPr>
        <w:t>评标小组</w:t>
      </w:r>
      <w:r>
        <w:rPr>
          <w:rFonts w:hint="default" w:ascii="Times New Roman" w:hAnsi="Times New Roman" w:eastAsia="宋体" w:cs="Times New Roman"/>
          <w:color w:val="auto"/>
          <w:sz w:val="21"/>
          <w:szCs w:val="21"/>
          <w:highlight w:val="none"/>
        </w:rPr>
        <w:t>详细评审后认定该投标文件对招标文件要求存在重大偏离的，则该投标文件按无效标处理：</w:t>
      </w:r>
    </w:p>
    <w:p>
      <w:pPr>
        <w:pStyle w:val="2"/>
        <w:spacing w:line="264" w:lineRule="auto"/>
        <w:ind w:firstLine="422" w:firstLineChars="200"/>
        <w:rPr>
          <w:rFonts w:hint="default" w:ascii="Times New Roman" w:hAnsi="Times New Roman" w:eastAsia="黑体" w:cs="Times New Roman"/>
          <w:b/>
          <w:bCs/>
          <w:color w:val="auto"/>
          <w:highlight w:val="none"/>
        </w:rPr>
      </w:pPr>
      <w:r>
        <w:rPr>
          <w:rFonts w:hint="default" w:ascii="Times New Roman" w:hAnsi="Times New Roman" w:eastAsia="黑体" w:cs="Times New Roman"/>
          <w:b/>
          <w:bCs/>
          <w:color w:val="auto"/>
          <w:highlight w:val="none"/>
        </w:rPr>
        <w:t xml:space="preserve">（1）  </w:t>
      </w:r>
      <w:r>
        <w:rPr>
          <w:rFonts w:hint="eastAsia" w:ascii="Times New Roman" w:hAnsi="Times New Roman" w:eastAsia="黑体" w:cs="Times New Roman"/>
          <w:b/>
          <w:bCs/>
          <w:color w:val="auto"/>
          <w:highlight w:val="none"/>
          <w:lang w:eastAsia="zh-CN"/>
        </w:rPr>
        <w:t>资信</w:t>
      </w:r>
      <w:r>
        <w:rPr>
          <w:rFonts w:hint="default" w:ascii="Times New Roman" w:hAnsi="Times New Roman" w:eastAsia="黑体" w:cs="Times New Roman"/>
          <w:b/>
          <w:bCs/>
          <w:color w:val="auto"/>
          <w:highlight w:val="none"/>
        </w:rPr>
        <w:t>技术标评审中规定作无效标的；</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bCs/>
          <w:color w:val="auto"/>
          <w:highlight w:val="none"/>
        </w:rPr>
        <w:t>（2）  招标文件中</w:t>
      </w:r>
      <w:r>
        <w:rPr>
          <w:rFonts w:hint="default" w:ascii="Times New Roman" w:hAnsi="Times New Roman" w:eastAsia="黑体" w:cs="Times New Roman"/>
          <w:b/>
          <w:color w:val="auto"/>
          <w:highlight w:val="none"/>
        </w:rPr>
        <w:t>其他内容明确规定作无效标的。</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30.4评标小组在评审过程中发现投标人的投标文件存在以下情形之一的，应认定为串通投标行为，其投标作无效标处理：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（1）不同投标人的投标文件由同一单位或者个人编制（包括使用同一台电脑、同一套投标工具、同一套计价软件）；</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（2）不同投标人委托同一单位或者个人办理投标事宜；</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（3）不同投标人的投标文件 载明的项目管理成员为同一人；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（4）不同投标人的投标文件异常一致或者投标报价呈规律性差异；</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（5）不同投标人的投标文件相互混装；</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（6）不同投标人的投标保证金从同一单位或者个人的账户转出。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30.5评标小组在评审过程中发现投标人的投标文件存在以下情形之一的，应当向投标人质询，如投标人拒绝说明或不能合理说明理由的，应认定为串通投标行为，其投标作无效标处理：</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（1）投标人之间协商投标报价等投标文件的实质性内容；</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（2）投标人之间约定中标人；</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（3）投标人之间约定部分投标人放弃投标或者中标；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（4）属于同一集团、协会、商会等组织成员的投标人按照该组织要求协同投标；</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（5）投标人之间为谋取中标或者排斥特定投标人而采取的其他联合行动；</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（6） 法律、法规或规章规定的其他串通投标行为。</w:t>
      </w:r>
    </w:p>
    <w:p>
      <w:pPr>
        <w:pStyle w:val="2"/>
        <w:spacing w:line="264" w:lineRule="auto"/>
        <w:ind w:firstLine="422" w:firstLineChars="200"/>
        <w:rPr>
          <w:rFonts w:hint="default" w:ascii="Times New Roman" w:hAnsi="Times New Roman" w:cs="Times New Roman"/>
          <w:color w:val="auto"/>
          <w:highlight w:val="none"/>
        </w:rPr>
      </w:pPr>
      <w:r>
        <w:rPr>
          <w:rFonts w:hint="default" w:ascii="Times New Roman" w:hAnsi="Times New Roman" w:eastAsia="黑体" w:cs="Times New Roman"/>
          <w:b/>
          <w:bCs/>
          <w:color w:val="auto"/>
          <w:highlight w:val="none"/>
        </w:rPr>
        <w:t>30.6</w:t>
      </w:r>
      <w:r>
        <w:rPr>
          <w:rFonts w:hint="default" w:ascii="Times New Roman" w:hAnsi="Times New Roman" w:cs="Times New Roman"/>
          <w:color w:val="auto"/>
          <w:highlight w:val="none"/>
        </w:rPr>
        <w:t>如有效标不足三家使得投标明显缺乏竞争的，评标小组可以否决全部投标。所有投标被否决的，则本次招标失败，重新组织招标。</w:t>
      </w:r>
    </w:p>
    <w:p>
      <w:pPr>
        <w:pStyle w:val="5"/>
        <w:rPr>
          <w:rFonts w:hint="default" w:ascii="Times New Roman" w:hAnsi="Times New Roman" w:cs="Times New Roman"/>
          <w:color w:val="auto"/>
          <w:highlight w:val="none"/>
        </w:rPr>
      </w:pPr>
      <w:bookmarkStart w:id="307" w:name="_Toc427132999"/>
      <w:bookmarkStart w:id="308" w:name="_Toc331149322"/>
      <w:bookmarkStart w:id="309" w:name="_Toc243707023"/>
      <w:bookmarkStart w:id="310" w:name="_Toc243713923"/>
      <w:bookmarkStart w:id="311" w:name="_Toc2545"/>
      <w:bookmarkStart w:id="312" w:name="_Toc427131736"/>
      <w:bookmarkStart w:id="313" w:name="_Toc243708864"/>
      <w:r>
        <w:rPr>
          <w:rFonts w:hint="default" w:ascii="Times New Roman" w:hAnsi="Times New Roman" w:cs="Times New Roman"/>
          <w:color w:val="auto"/>
          <w:highlight w:val="none"/>
        </w:rPr>
        <w:t>商务标的修正</w:t>
      </w:r>
      <w:bookmarkEnd w:id="307"/>
      <w:bookmarkEnd w:id="308"/>
      <w:bookmarkEnd w:id="309"/>
      <w:bookmarkEnd w:id="310"/>
      <w:bookmarkEnd w:id="311"/>
      <w:bookmarkEnd w:id="312"/>
      <w:bookmarkEnd w:id="313"/>
    </w:p>
    <w:p>
      <w:pPr>
        <w:pStyle w:val="6"/>
        <w:spacing w:line="264" w:lineRule="auto"/>
        <w:ind w:left="-4" w:leftChars="-2" w:firstLineChars="200"/>
        <w:rPr>
          <w:rFonts w:hint="default" w:ascii="Times New Roman" w:hAnsi="Times New Roman" w:eastAsia="宋体" w:cs="Times New Roman"/>
          <w:color w:val="auto"/>
          <w:sz w:val="21"/>
          <w:highlight w:val="none"/>
        </w:rPr>
      </w:pPr>
      <w:r>
        <w:rPr>
          <w:rFonts w:hint="default" w:ascii="Times New Roman" w:hAnsi="Times New Roman" w:eastAsia="宋体" w:cs="Times New Roman"/>
          <w:color w:val="auto"/>
          <w:sz w:val="21"/>
          <w:highlight w:val="none"/>
        </w:rPr>
        <w:t>投标承诺书中的文字表示的量和以数字表示的量不一致时，以文字表示的量为准。</w:t>
      </w:r>
    </w:p>
    <w:p>
      <w:pPr>
        <w:pStyle w:val="4"/>
        <w:spacing w:line="260" w:lineRule="exact"/>
        <w:rPr>
          <w:rFonts w:hint="default" w:ascii="Times New Roman" w:hAnsi="Times New Roman" w:cs="Times New Roman"/>
          <w:color w:val="auto"/>
          <w:highlight w:val="none"/>
        </w:rPr>
      </w:pPr>
      <w:bookmarkStart w:id="314" w:name="_Toc243708865"/>
      <w:bookmarkStart w:id="315" w:name="_Toc243707024"/>
      <w:bookmarkStart w:id="316" w:name="_Toc427133000"/>
      <w:bookmarkStart w:id="317" w:name="_Toc2517"/>
      <w:r>
        <w:rPr>
          <w:rFonts w:hint="default" w:ascii="Times New Roman" w:hAnsi="Times New Roman" w:cs="Times New Roman"/>
          <w:color w:val="auto"/>
          <w:highlight w:val="none"/>
        </w:rPr>
        <w:t>第七节  授予合同</w:t>
      </w:r>
      <w:bookmarkEnd w:id="269"/>
      <w:bookmarkEnd w:id="270"/>
      <w:bookmarkEnd w:id="314"/>
      <w:bookmarkEnd w:id="315"/>
      <w:bookmarkEnd w:id="316"/>
      <w:bookmarkEnd w:id="317"/>
    </w:p>
    <w:p>
      <w:pPr>
        <w:pStyle w:val="5"/>
        <w:spacing w:line="264" w:lineRule="auto"/>
        <w:rPr>
          <w:rFonts w:hint="default" w:ascii="Times New Roman" w:hAnsi="Times New Roman" w:cs="Times New Roman"/>
          <w:color w:val="auto"/>
          <w:highlight w:val="none"/>
        </w:rPr>
      </w:pPr>
      <w:bookmarkStart w:id="318" w:name="_Toc331149324"/>
      <w:bookmarkStart w:id="319" w:name="_Toc427131738"/>
      <w:bookmarkStart w:id="320" w:name="_Toc427133001"/>
      <w:bookmarkStart w:id="321" w:name="_Toc8113"/>
      <w:bookmarkStart w:id="322" w:name="_Toc500208496"/>
      <w:r>
        <w:rPr>
          <w:rFonts w:hint="default" w:ascii="Times New Roman" w:hAnsi="Times New Roman" w:cs="Times New Roman"/>
          <w:color w:val="auto"/>
          <w:highlight w:val="none"/>
        </w:rPr>
        <w:t>中标候选人公示</w:t>
      </w:r>
      <w:bookmarkEnd w:id="318"/>
      <w:bookmarkEnd w:id="319"/>
      <w:bookmarkEnd w:id="320"/>
      <w:bookmarkEnd w:id="321"/>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32.1招标人应当将评标小组推荐的中标候选人进行公示</w:t>
      </w:r>
      <w:r>
        <w:rPr>
          <w:rFonts w:hint="default" w:ascii="Times New Roman" w:hAnsi="Times New Roman" w:cs="Times New Roman"/>
          <w:bCs/>
          <w:color w:val="auto"/>
          <w:highlight w:val="none"/>
        </w:rPr>
        <w:t>，</w:t>
      </w:r>
      <w:r>
        <w:rPr>
          <w:rFonts w:hint="default" w:ascii="Times New Roman" w:hAnsi="Times New Roman" w:cs="Times New Roman"/>
          <w:color w:val="auto"/>
          <w:highlight w:val="none"/>
        </w:rPr>
        <w:t>公示期不得少于3日（最后一日为工作日）。公示期间，招标人（招标代理机构）应按照《关于在国有投资建设工程项目招投标活动中实行行贿犯罪档案查询制度的通知》（台建规[2010]219号）规定，对中标候选人有无行贿犯罪记录进行查询。</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32.2</w:t>
      </w:r>
      <w:r>
        <w:rPr>
          <w:rFonts w:hint="default" w:ascii="Times New Roman" w:hAnsi="Times New Roman" w:cs="Times New Roman"/>
          <w:b/>
          <w:color w:val="auto"/>
          <w:highlight w:val="none"/>
        </w:rPr>
        <w:t>属于《中华人民共和国招标投标法实施条例》第二十二条、第四十四条、第五十四条规定事项投诉的，</w:t>
      </w:r>
      <w:r>
        <w:rPr>
          <w:rFonts w:hint="default" w:ascii="Times New Roman" w:hAnsi="Times New Roman" w:cs="Times New Roman"/>
          <w:color w:val="auto"/>
          <w:highlight w:val="none"/>
        </w:rPr>
        <w:t>应当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32.3涉及中标候选人投标资格等情形的，招标人（招标代理机构）可以书面形式要求其进行澄清或说明。中标候选人应自收到书面通知之日起3日内进行澄清或说明。</w:t>
      </w:r>
    </w:p>
    <w:p>
      <w:pPr>
        <w:pStyle w:val="2"/>
        <w:spacing w:line="264" w:lineRule="auto"/>
        <w:ind w:firstLine="422" w:firstLineChars="200"/>
        <w:rPr>
          <w:rFonts w:hint="default" w:ascii="Times New Roman" w:hAnsi="Times New Roman" w:eastAsia="黑体" w:cs="Times New Roman"/>
          <w:b/>
          <w:color w:val="auto"/>
          <w:highlight w:val="none"/>
        </w:rPr>
      </w:pPr>
      <w:r>
        <w:rPr>
          <w:rFonts w:hint="default" w:ascii="Times New Roman" w:hAnsi="Times New Roman" w:eastAsia="黑体" w:cs="Times New Roman"/>
          <w:b/>
          <w:color w:val="auto"/>
          <w:highlight w:val="none"/>
        </w:rPr>
        <w:t>32.4中标候选人有以下情形之一的，其资格无效：</w:t>
      </w:r>
    </w:p>
    <w:p>
      <w:p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（1）投标资格不符合本章第5项规定的；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（2）按本章第30项规定应作无效标处理的；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（3）拒绝按本章第32.3款规定进行说明或不能合理说明理由的；</w:t>
      </w:r>
    </w:p>
    <w:p>
      <w:pPr>
        <w:pStyle w:val="2"/>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（4）法律法规规定作无效标处理的其它情形。</w:t>
      </w:r>
    </w:p>
    <w:p>
      <w:pPr>
        <w:pStyle w:val="5"/>
        <w:spacing w:line="264" w:lineRule="auto"/>
        <w:rPr>
          <w:rFonts w:hint="default" w:ascii="Times New Roman" w:hAnsi="Times New Roman" w:cs="Times New Roman"/>
          <w:color w:val="auto"/>
          <w:highlight w:val="none"/>
        </w:rPr>
      </w:pPr>
      <w:bookmarkStart w:id="323" w:name="_Toc427131739"/>
      <w:bookmarkStart w:id="324" w:name="_Toc243713926"/>
      <w:bookmarkStart w:id="325" w:name="_Toc13105"/>
      <w:bookmarkStart w:id="326" w:name="_Toc243707026"/>
      <w:bookmarkStart w:id="327" w:name="_Toc243708867"/>
      <w:bookmarkStart w:id="328" w:name="_Toc427133002"/>
      <w:bookmarkStart w:id="329" w:name="_Toc331149325"/>
      <w:r>
        <w:rPr>
          <w:rFonts w:hint="default" w:ascii="Times New Roman" w:hAnsi="Times New Roman" w:cs="Times New Roman"/>
          <w:color w:val="auto"/>
          <w:highlight w:val="none"/>
        </w:rPr>
        <w:t>中标通知书</w:t>
      </w:r>
      <w:bookmarkEnd w:id="322"/>
      <w:bookmarkEnd w:id="323"/>
      <w:bookmarkEnd w:id="324"/>
      <w:bookmarkEnd w:id="325"/>
      <w:bookmarkEnd w:id="326"/>
      <w:bookmarkEnd w:id="327"/>
      <w:bookmarkEnd w:id="328"/>
      <w:bookmarkEnd w:id="329"/>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招标人应当确定中标候选人为中标人。中标候选人放弃中标，或者因不可抗力提出不能履行合同，或者因违反本章第32.4项规定造成其资格无效的，</w:t>
      </w:r>
      <w:r>
        <w:rPr>
          <w:rFonts w:hint="default" w:ascii="Times New Roman" w:hAnsi="Times New Roman" w:cs="Times New Roman"/>
          <w:color w:val="auto"/>
          <w:szCs w:val="32"/>
          <w:highlight w:val="none"/>
        </w:rPr>
        <w:t>本次招标失败，重新组织招标。涉及到其他投标人资格无效，则评标结果不作调整。</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中标人确定后，招标人应当向中标人发出《建设项目中标通知书》。</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招标人在发出《建设项目中标通知书》的同时，应当将中标结果以书面形式通知所有未中标的投标人。</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《建设项目中标通知书》对招标人和中标人具有法律约束力。《建设项目中标通知书》发出后，如中标人违反法律法规规定而中标无效的，应承担相应的法律责任，本次招标失败，应重新进行招标。</w:t>
      </w:r>
    </w:p>
    <w:p>
      <w:pPr>
        <w:pStyle w:val="5"/>
        <w:spacing w:line="264" w:lineRule="auto"/>
        <w:rPr>
          <w:rFonts w:hint="default" w:ascii="Times New Roman" w:hAnsi="Times New Roman" w:cs="Times New Roman"/>
          <w:color w:val="auto"/>
          <w:highlight w:val="none"/>
        </w:rPr>
      </w:pPr>
      <w:bookmarkStart w:id="330" w:name="_Toc243713927"/>
      <w:bookmarkStart w:id="331" w:name="_Toc331149326"/>
      <w:bookmarkStart w:id="332" w:name="_Toc30825"/>
      <w:bookmarkStart w:id="333" w:name="_Toc427133003"/>
      <w:bookmarkStart w:id="334" w:name="_Toc243708868"/>
      <w:bookmarkStart w:id="335" w:name="_Toc427131740"/>
      <w:bookmarkStart w:id="336" w:name="_Toc243707027"/>
      <w:bookmarkStart w:id="337" w:name="_Toc500208498"/>
      <w:r>
        <w:rPr>
          <w:rFonts w:hint="default" w:ascii="Times New Roman" w:hAnsi="Times New Roman" w:cs="Times New Roman"/>
          <w:color w:val="auto"/>
          <w:highlight w:val="none"/>
        </w:rPr>
        <w:t>合同签订</w:t>
      </w:r>
      <w:bookmarkEnd w:id="330"/>
      <w:bookmarkEnd w:id="331"/>
      <w:bookmarkEnd w:id="332"/>
      <w:bookmarkEnd w:id="333"/>
      <w:bookmarkEnd w:id="334"/>
      <w:bookmarkEnd w:id="335"/>
      <w:bookmarkEnd w:id="336"/>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自《建设项目中标通知书》发出之日起30日内，招标人应当与中标人按照本招标文件和中标人的投标文件订立书面合同，并到招标办办理备案手续。招标人与中标人不得再行订立背离合同实质性内容的其他协议</w:t>
      </w:r>
      <w:r>
        <w:rPr>
          <w:rFonts w:hint="default" w:ascii="Times New Roman" w:hAnsi="Times New Roman" w:cs="Times New Roman"/>
          <w:color w:val="auto"/>
          <w:highlight w:val="none"/>
        </w:rPr>
        <w:t>。</w:t>
      </w:r>
    </w:p>
    <w:p>
      <w:pPr>
        <w:pStyle w:val="2"/>
        <w:numPr>
          <w:ilvl w:val="1"/>
          <w:numId w:val="2"/>
        </w:numPr>
        <w:spacing w:line="264"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szCs w:val="32"/>
          <w:highlight w:val="none"/>
        </w:rPr>
        <w:t>招标人与中标人须根据招标文件、投标文件规定签订合同。</w:t>
      </w:r>
      <w:r>
        <w:rPr>
          <w:rFonts w:hint="default" w:ascii="Times New Roman" w:hAnsi="Times New Roman" w:cs="Times New Roman"/>
          <w:color w:val="auto"/>
          <w:highlight w:val="none"/>
        </w:rPr>
        <w:t>同时，按照</w:t>
      </w:r>
      <w:r>
        <w:rPr>
          <w:rFonts w:hint="default" w:ascii="Times New Roman" w:hAnsi="Times New Roman" w:cs="Times New Roman"/>
          <w:color w:val="auto"/>
          <w:szCs w:val="32"/>
          <w:highlight w:val="none"/>
        </w:rPr>
        <w:t>《关于在我市工程建设领域推行廉政合同的通知》</w:t>
      </w:r>
      <w:r>
        <w:rPr>
          <w:rFonts w:hint="default" w:ascii="Times New Roman" w:hAnsi="Times New Roman" w:cs="Times New Roman"/>
          <w:color w:val="auto"/>
          <w:highlight w:val="none"/>
        </w:rPr>
        <w:t>（台纪[2001]19号）的要求，双方签订《廉政合同》</w:t>
      </w:r>
      <w:bookmarkEnd w:id="337"/>
      <w:r>
        <w:rPr>
          <w:rFonts w:hint="default" w:ascii="Times New Roman" w:hAnsi="Times New Roman" w:cs="Times New Roman"/>
          <w:color w:val="auto"/>
          <w:highlight w:val="none"/>
        </w:rPr>
        <w:t>。</w:t>
      </w:r>
    </w:p>
    <w:bookmarkEnd w:id="104"/>
    <w:bookmarkEnd w:id="105"/>
    <w:p>
      <w:pPr>
        <w:pStyle w:val="3"/>
        <w:numPr>
          <w:ilvl w:val="0"/>
          <w:numId w:val="0"/>
        </w:numPr>
        <w:spacing w:line="288" w:lineRule="auto"/>
        <w:jc w:val="center"/>
        <w:rPr>
          <w:rFonts w:hint="default" w:ascii="Times New Roman" w:hAnsi="Times New Roman" w:cs="Times New Roman"/>
          <w:color w:val="auto"/>
          <w:highlight w:val="none"/>
        </w:rPr>
      </w:pPr>
      <w:bookmarkStart w:id="338" w:name="_Toc145388596"/>
      <w:r>
        <w:rPr>
          <w:rFonts w:hint="default" w:ascii="Times New Roman" w:hAnsi="Times New Roman" w:cs="Times New Roman"/>
          <w:color w:val="auto"/>
          <w:highlight w:val="none"/>
        </w:rPr>
        <w:br w:type="page"/>
      </w:r>
      <w:bookmarkStart w:id="339" w:name="_Toc30736_WPSOffice_Level1"/>
      <w:bookmarkStart w:id="340" w:name="_Toc32673_WPSOffice_Level1"/>
      <w:bookmarkStart w:id="341" w:name="_Toc27851"/>
      <w:r>
        <w:rPr>
          <w:rFonts w:hint="default" w:ascii="Times New Roman" w:hAnsi="Times New Roman" w:cs="Times New Roman"/>
          <w:color w:val="auto"/>
          <w:highlight w:val="none"/>
        </w:rPr>
        <w:t>第</w:t>
      </w:r>
      <w:r>
        <w:rPr>
          <w:rFonts w:hint="default" w:ascii="Times New Roman" w:hAnsi="Times New Roman" w:cs="Times New Roman"/>
          <w:color w:val="auto"/>
          <w:highlight w:val="none"/>
          <w:lang w:eastAsia="zh-CN"/>
        </w:rPr>
        <w:t>三</w:t>
      </w:r>
      <w:r>
        <w:rPr>
          <w:rFonts w:hint="default" w:ascii="Times New Roman" w:hAnsi="Times New Roman" w:cs="Times New Roman"/>
          <w:color w:val="auto"/>
          <w:highlight w:val="none"/>
        </w:rPr>
        <w:t xml:space="preserve">章 </w:t>
      </w:r>
      <w:bookmarkStart w:id="342" w:name="_Toc427133004"/>
      <w:r>
        <w:rPr>
          <w:rFonts w:hint="default" w:ascii="Times New Roman" w:hAnsi="Times New Roman" w:cs="Times New Roman"/>
          <w:color w:val="auto"/>
          <w:highlight w:val="none"/>
        </w:rPr>
        <w:t xml:space="preserve"> 评标办法</w:t>
      </w:r>
      <w:bookmarkEnd w:id="339"/>
      <w:bookmarkEnd w:id="340"/>
      <w:bookmarkEnd w:id="341"/>
      <w:bookmarkEnd w:id="342"/>
    </w:p>
    <w:p>
      <w:pPr>
        <w:pStyle w:val="6"/>
        <w:adjustRightInd w:val="0"/>
        <w:snapToGrid w:val="0"/>
        <w:spacing w:line="500" w:lineRule="exact"/>
        <w:ind w:firstLineChars="200"/>
        <w:outlineLvl w:val="0"/>
        <w:rPr>
          <w:rFonts w:hint="default" w:ascii="Times New Roman" w:hAnsi="Times New Roman" w:eastAsia="宋体" w:cs="Times New Roman"/>
          <w:color w:val="auto"/>
          <w:sz w:val="21"/>
          <w:szCs w:val="21"/>
          <w:highlight w:val="none"/>
        </w:rPr>
      </w:pPr>
      <w:bookmarkStart w:id="343" w:name="_Toc427133005"/>
      <w:r>
        <w:rPr>
          <w:rFonts w:hint="default" w:ascii="Times New Roman" w:hAnsi="Times New Roman" w:eastAsia="宋体" w:cs="Times New Roman"/>
          <w:color w:val="auto"/>
          <w:sz w:val="21"/>
          <w:szCs w:val="21"/>
          <w:highlight w:val="none"/>
        </w:rPr>
        <w:t>本项目的评标办法采用</w:t>
      </w:r>
      <w:r>
        <w:rPr>
          <w:rFonts w:hint="default" w:ascii="Times New Roman" w:hAnsi="Times New Roman" w:eastAsia="宋体" w:cs="Times New Roman"/>
          <w:color w:val="auto"/>
          <w:sz w:val="21"/>
          <w:szCs w:val="21"/>
          <w:highlight w:val="none"/>
          <w:lang w:eastAsia="zh-CN"/>
        </w:rPr>
        <w:t>综合评估法</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第一阶段为资格标评审</w:t>
      </w:r>
    </w:p>
    <w:p>
      <w:pPr>
        <w:pStyle w:val="6"/>
        <w:adjustRightInd w:val="0"/>
        <w:snapToGrid w:val="0"/>
        <w:spacing w:line="400" w:lineRule="exact"/>
        <w:ind w:firstLineChars="200"/>
        <w:outlineLvl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评标小组依据招标文件载明的资格条件对投标人进行审查，凡不符合资格条件要求的，以无效标处理，不再进入下一阶段评审</w:t>
      </w:r>
      <w:r>
        <w:rPr>
          <w:rFonts w:hint="default" w:ascii="Times New Roman" w:hAnsi="Times New Roman" w:eastAsia="宋体" w:cs="Times New Roman"/>
          <w:color w:val="auto"/>
          <w:sz w:val="21"/>
          <w:szCs w:val="21"/>
          <w:highlight w:val="none"/>
        </w:rPr>
        <w:t>。</w:t>
      </w:r>
    </w:p>
    <w:p>
      <w:pPr>
        <w:pStyle w:val="16"/>
        <w:numPr>
          <w:ilvl w:val="0"/>
          <w:numId w:val="4"/>
        </w:numPr>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eastAsia" w:ascii="Times New Roman" w:hAnsi="Times New Roman" w:eastAsia="宋体" w:cs="Times New Roman"/>
          <w:b/>
          <w:color w:val="auto"/>
          <w:sz w:val="21"/>
          <w:szCs w:val="21"/>
          <w:highlight w:val="none"/>
          <w:lang w:eastAsia="zh-CN"/>
        </w:rPr>
        <w:t>资信</w:t>
      </w:r>
      <w:r>
        <w:rPr>
          <w:rFonts w:hint="default" w:ascii="Times New Roman" w:hAnsi="Times New Roman" w:eastAsia="宋体" w:cs="Times New Roman"/>
          <w:b/>
          <w:color w:val="auto"/>
          <w:sz w:val="21"/>
          <w:szCs w:val="21"/>
          <w:highlight w:val="none"/>
        </w:rPr>
        <w:t>技术标评审标准（</w:t>
      </w:r>
      <w:r>
        <w:rPr>
          <w:rFonts w:hint="eastAsia" w:ascii="Times New Roman" w:hAnsi="Times New Roman" w:eastAsia="宋体" w:cs="Times New Roman"/>
          <w:b/>
          <w:color w:val="auto"/>
          <w:sz w:val="21"/>
          <w:szCs w:val="21"/>
          <w:highlight w:val="none"/>
          <w:lang w:val="en-US" w:eastAsia="zh-CN"/>
        </w:rPr>
        <w:t>80</w:t>
      </w:r>
      <w:r>
        <w:rPr>
          <w:rFonts w:hint="default" w:ascii="Times New Roman" w:hAnsi="Times New Roman" w:eastAsia="宋体" w:cs="Times New Roman"/>
          <w:b/>
          <w:color w:val="auto"/>
          <w:sz w:val="21"/>
          <w:szCs w:val="21"/>
          <w:highlight w:val="none"/>
        </w:rPr>
        <w:t>分）</w:t>
      </w:r>
    </w:p>
    <w:p>
      <w:pPr>
        <w:spacing w:line="400" w:lineRule="exact"/>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评标小组针对投标文件的技术标采用记名方式，根据各项目内容各自打分（小数点后保留1位，第2位四舍五入），再取平均分作为该项的分数（小数点后保留2位，第3位四舍五入）。每项平均分的合计分数即为投标的技术得分。</w:t>
      </w:r>
    </w:p>
    <w:p>
      <w:pPr>
        <w:pStyle w:val="2"/>
        <w:rPr>
          <w:rFonts w:hint="default" w:ascii="Times New Roman" w:hAnsi="Times New Roman" w:cs="Times New Roman"/>
          <w:color w:val="auto"/>
          <w:highlight w:val="none"/>
        </w:rPr>
      </w:pPr>
    </w:p>
    <w:tbl>
      <w:tblPr>
        <w:tblStyle w:val="37"/>
        <w:tblW w:w="95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6"/>
        <w:gridCol w:w="1293"/>
        <w:gridCol w:w="6842"/>
        <w:gridCol w:w="8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序号</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评审</w:t>
            </w:r>
          </w:p>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内容</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49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评分标准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b/>
                <w:bCs/>
                <w:color w:val="auto"/>
                <w:kern w:val="2"/>
                <w:highlight w:val="none"/>
                <w:lang w:val="en-US" w:eastAsia="zh-CN"/>
              </w:rPr>
            </w:pPr>
            <w:r>
              <w:rPr>
                <w:rFonts w:hint="eastAsia" w:ascii="宋体" w:eastAsia="宋体" w:cs="宋体"/>
                <w:b/>
                <w:bCs/>
                <w:color w:val="auto"/>
                <w:kern w:val="2"/>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17" w:hRule="atLeast"/>
          <w:jc w:val="center"/>
        </w:trPr>
        <w:tc>
          <w:tcPr>
            <w:tcW w:w="546" w:type="dxa"/>
            <w:tcBorders>
              <w:top w:val="single" w:color="auto" w:sz="4" w:space="0"/>
              <w:left w:val="single" w:color="auto" w:sz="4" w:space="0"/>
              <w:right w:val="single" w:color="auto" w:sz="4"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4" w:space="0"/>
              <w:left w:val="single" w:color="auto" w:sz="4" w:space="0"/>
              <w:right w:val="single" w:color="auto" w:sz="4" w:space="0"/>
            </w:tcBorders>
            <w:noWrap w:val="0"/>
            <w:vAlign w:val="center"/>
          </w:tcPr>
          <w:p>
            <w:pPr>
              <w:tabs>
                <w:tab w:val="left" w:pos="1080"/>
              </w:tabs>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项目技术</w:t>
            </w:r>
            <w:r>
              <w:rPr>
                <w:rFonts w:hint="eastAsia" w:ascii="宋体" w:hAnsi="宋体" w:cs="宋体"/>
                <w:color w:val="auto"/>
                <w:sz w:val="24"/>
                <w:highlight w:val="none"/>
              </w:rPr>
              <w:t>方案</w:t>
            </w:r>
            <w:r>
              <w:rPr>
                <w:rFonts w:hint="eastAsia" w:ascii="宋体" w:hAnsi="宋体" w:cs="宋体"/>
                <w:color w:val="auto"/>
                <w:sz w:val="24"/>
                <w:highlight w:val="none"/>
                <w:lang w:eastAsia="zh-CN"/>
              </w:rPr>
              <w:t>及实施方案</w:t>
            </w:r>
          </w:p>
        </w:tc>
        <w:tc>
          <w:tcPr>
            <w:tcW w:w="6842" w:type="dxa"/>
            <w:tcBorders>
              <w:top w:val="single" w:color="auto" w:sz="4" w:space="0"/>
              <w:left w:val="single" w:color="auto" w:sz="4" w:space="0"/>
              <w:right w:val="single" w:color="auto" w:sz="4" w:space="0"/>
            </w:tcBorders>
            <w:noWrap w:val="0"/>
            <w:vAlign w:val="center"/>
          </w:tcPr>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1、投标人对本项目环境及了解熟悉程度，描述周到的得10-9分，描述基本周到的的7-6分，描述不周到的的4-3分，缺项的得0分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2、防治对象、种类、孽生地调查、密度检测方法及计划安排和选择药物的合理性、安全性、不同环境采用药物的种类、数量及使用方法；方案全面可行的得10-9分，基本可行的得7-6分，一般的得4-3分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3、本项目的特点和难点分析及解决措施（0-5分）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4、设备物资配备数量充足，配置合理；（0-5分）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5、防治工作周期计划的合理性安排（0-4分）</w:t>
            </w:r>
          </w:p>
          <w:p>
            <w:pPr>
              <w:numPr>
                <w:ilvl w:val="0"/>
                <w:numId w:val="0"/>
              </w:numPr>
              <w:spacing w:line="460" w:lineRule="exact"/>
              <w:rPr>
                <w:rFonts w:hint="default"/>
                <w:color w:val="auto"/>
                <w:highlight w:val="none"/>
                <w:lang w:val="en-US" w:eastAsia="zh-CN"/>
              </w:rPr>
            </w:pPr>
            <w:r>
              <w:rPr>
                <w:rFonts w:hint="default"/>
                <w:color w:val="auto"/>
                <w:highlight w:val="none"/>
                <w:lang w:val="en-US" w:eastAsia="zh-CN"/>
              </w:rPr>
              <w:t>6、员工安全教育和业务培训计划或培训措施</w:t>
            </w:r>
            <w:r>
              <w:rPr>
                <w:rFonts w:hint="eastAsia"/>
                <w:color w:val="auto"/>
                <w:highlight w:val="none"/>
                <w:lang w:val="en-US" w:eastAsia="zh-CN"/>
              </w:rPr>
              <w:t>及药物投放的指导工作安排（0-4分）</w:t>
            </w:r>
          </w:p>
          <w:p>
            <w:pPr>
              <w:numPr>
                <w:ilvl w:val="0"/>
                <w:numId w:val="0"/>
              </w:numPr>
              <w:spacing w:line="460" w:lineRule="exact"/>
              <w:rPr>
                <w:rFonts w:hint="eastAsia"/>
                <w:color w:val="auto"/>
                <w:highlight w:val="none"/>
                <w:lang w:val="en-US" w:eastAsia="zh-CN"/>
              </w:rPr>
            </w:pPr>
            <w:r>
              <w:rPr>
                <w:rFonts w:hint="eastAsia"/>
                <w:color w:val="auto"/>
                <w:highlight w:val="none"/>
                <w:lang w:val="en-US" w:eastAsia="zh-CN"/>
              </w:rPr>
              <w:t>6、突发事件的应急措施（0-5分）</w:t>
            </w:r>
          </w:p>
          <w:p>
            <w:pPr>
              <w:numPr>
                <w:ilvl w:val="0"/>
                <w:numId w:val="0"/>
              </w:numPr>
              <w:spacing w:line="460" w:lineRule="exact"/>
              <w:rPr>
                <w:rFonts w:hint="default"/>
                <w:color w:val="auto"/>
                <w:highlight w:val="none"/>
                <w:lang w:val="en-US" w:eastAsia="zh-CN"/>
              </w:rPr>
            </w:pPr>
            <w:r>
              <w:rPr>
                <w:rFonts w:hint="eastAsia"/>
                <w:color w:val="auto"/>
                <w:highlight w:val="none"/>
                <w:lang w:val="en-US" w:eastAsia="zh-CN"/>
              </w:rPr>
              <w:t>7、防治工作的宣传方案（0-4分）</w:t>
            </w:r>
          </w:p>
          <w:p>
            <w:pPr>
              <w:numPr>
                <w:ilvl w:val="0"/>
                <w:numId w:val="0"/>
              </w:numPr>
              <w:spacing w:line="460" w:lineRule="exact"/>
              <w:rPr>
                <w:rFonts w:hint="eastAsia" w:ascii="宋体" w:hAnsi="宋体" w:eastAsia="宋体" w:cs="宋体"/>
                <w:color w:val="auto"/>
                <w:sz w:val="24"/>
                <w:highlight w:val="none"/>
                <w:lang w:eastAsia="zh-CN"/>
              </w:rPr>
            </w:pPr>
            <w:r>
              <w:rPr>
                <w:rFonts w:hint="eastAsia"/>
                <w:color w:val="auto"/>
                <w:highlight w:val="none"/>
                <w:lang w:val="en-US" w:eastAsia="zh-CN"/>
              </w:rPr>
              <w:t>8、服务承诺：由评委根据投标人针对本项目提供的服务质量、服务承诺及售后服务承诺进行综合评定。（0-5分）</w:t>
            </w:r>
          </w:p>
        </w:tc>
        <w:tc>
          <w:tcPr>
            <w:tcW w:w="877" w:type="dxa"/>
            <w:tcBorders>
              <w:top w:val="single" w:color="auto" w:sz="4" w:space="0"/>
              <w:left w:val="single" w:color="auto" w:sz="4" w:space="0"/>
              <w:right w:val="single" w:color="auto" w:sz="4" w:space="0"/>
            </w:tcBorders>
            <w:noWrap w:val="0"/>
            <w:vAlign w:val="center"/>
          </w:tcPr>
          <w:p>
            <w:pPr>
              <w:pStyle w:val="31"/>
              <w:spacing w:line="460" w:lineRule="exact"/>
              <w:ind w:firstLine="0" w:firstLineChars="0"/>
              <w:jc w:val="center"/>
              <w:rPr>
                <w:rFonts w:hint="default"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52分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企业综合实力及本地化服务</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1、具有5名及以上获得爱卫办病媒生物预防控制培训合格证明的除四害专业技术人员的得4分；团队中每增加一个持证人员的加0.5分，最多加2分。（0-6分）</w:t>
            </w:r>
          </w:p>
          <w:p>
            <w:pPr>
              <w:spacing w:line="460" w:lineRule="exact"/>
              <w:rPr>
                <w:rFonts w:hint="eastAsia"/>
                <w:color w:val="auto"/>
                <w:highlight w:val="none"/>
                <w:lang w:eastAsia="zh-CN"/>
              </w:rPr>
            </w:pPr>
            <w:r>
              <w:rPr>
                <w:rFonts w:hint="eastAsia"/>
                <w:color w:val="auto"/>
                <w:highlight w:val="none"/>
                <w:lang w:eastAsia="zh-CN"/>
              </w:rPr>
              <w:t>2、项目负责人具有国家劳动与社会保障局颁发的有害生物中级或中级以上防治员职业资格证书的得 2分</w:t>
            </w:r>
          </w:p>
          <w:p>
            <w:pPr>
              <w:spacing w:line="460" w:lineRule="exact"/>
              <w:rPr>
                <w:rFonts w:hint="eastAsia"/>
                <w:color w:val="auto"/>
                <w:highlight w:val="none"/>
                <w:lang w:eastAsia="zh-CN"/>
              </w:rPr>
            </w:pPr>
            <w:r>
              <w:rPr>
                <w:rFonts w:hint="eastAsia"/>
                <w:color w:val="auto"/>
                <w:highlight w:val="none"/>
                <w:lang w:eastAsia="zh-CN"/>
              </w:rPr>
              <w:t>3、为方便日常服务和应急消杀，投标单位在玉环市设有除四害物品专用仓库和办公用房得5分（公司或分公司以营业执照为准；办事处需提供租赁协议、房租支付凭证及房东电话以验真伪。（5分）</w:t>
            </w:r>
          </w:p>
        </w:tc>
        <w:tc>
          <w:tcPr>
            <w:tcW w:w="877" w:type="dxa"/>
            <w:tcBorders>
              <w:top w:val="single" w:color="auto" w:sz="4" w:space="0"/>
              <w:left w:val="single" w:color="auto" w:sz="4" w:space="0"/>
              <w:bottom w:val="nil"/>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13分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3"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荣誉</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2015年1月1日至今具有省级病媒生物防制协会颁发的病媒生物防制服务机构资质AA级及以上证书，得5分。</w:t>
            </w:r>
          </w:p>
          <w:p>
            <w:pPr>
              <w:spacing w:line="460" w:lineRule="exact"/>
              <w:rPr>
                <w:rFonts w:hint="eastAsia"/>
                <w:color w:val="auto"/>
                <w:highlight w:val="none"/>
                <w:lang w:eastAsia="zh-CN"/>
              </w:rPr>
            </w:pPr>
            <w:r>
              <w:rPr>
                <w:rFonts w:hint="eastAsia"/>
                <w:color w:val="auto"/>
                <w:highlight w:val="none"/>
                <w:lang w:eastAsia="zh-CN"/>
              </w:rPr>
              <w:t>2015年1月1日至今具有省级病媒生物防制协会颁发的病媒生物防制服务机构资质A级证书或市级病媒生物防制协会颁发的资质证书，得 3分。</w:t>
            </w:r>
          </w:p>
          <w:p>
            <w:pPr>
              <w:spacing w:line="460" w:lineRule="exact"/>
              <w:rPr>
                <w:rFonts w:hint="eastAsia"/>
                <w:color w:val="auto"/>
                <w:highlight w:val="none"/>
                <w:lang w:eastAsia="zh-CN"/>
              </w:rPr>
            </w:pPr>
            <w:r>
              <w:rPr>
                <w:rFonts w:hint="eastAsia"/>
                <w:color w:val="auto"/>
                <w:highlight w:val="none"/>
                <w:lang w:eastAsia="zh-CN"/>
              </w:rPr>
              <w:t>分值不重复计算，取最高得分。未提供不得分。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27" w:hRule="atLeas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企业</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业绩</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评委根据投标人201</w:t>
            </w:r>
            <w:r>
              <w:rPr>
                <w:rFonts w:hint="eastAsia"/>
                <w:color w:val="auto"/>
                <w:highlight w:val="none"/>
                <w:lang w:val="en-US" w:eastAsia="zh-CN"/>
              </w:rPr>
              <w:t>6</w:t>
            </w:r>
            <w:r>
              <w:rPr>
                <w:rFonts w:hint="eastAsia"/>
                <w:color w:val="auto"/>
                <w:highlight w:val="none"/>
                <w:lang w:eastAsia="zh-CN"/>
              </w:rPr>
              <w:t>年1月1日至今类似项目合同业绩进行评定。 每提供1个同类合同得1分，最多得7分。（提供合同复印件并加盖投标人公章。相应原件需随身携带，以备核验，届时未当场提供相应原件的，该部分评分时不予认可）。</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9" w:hRule="exact"/>
          <w:jc w:val="center"/>
        </w:trPr>
        <w:tc>
          <w:tcPr>
            <w:tcW w:w="5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投标</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文件</w:t>
            </w:r>
          </w:p>
          <w:p>
            <w:pPr>
              <w:widowControl/>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质量</w:t>
            </w:r>
          </w:p>
        </w:tc>
        <w:tc>
          <w:tcPr>
            <w:tcW w:w="684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color w:val="auto"/>
                <w:highlight w:val="none"/>
                <w:lang w:eastAsia="zh-CN"/>
              </w:rPr>
            </w:pPr>
            <w:r>
              <w:rPr>
                <w:rFonts w:hint="eastAsia"/>
                <w:color w:val="auto"/>
                <w:highlight w:val="none"/>
                <w:lang w:eastAsia="zh-CN"/>
              </w:rPr>
              <w:t>1、投标人所提供的响应的招标文件按招标文件要求编制完整、不缺项且签字、盖章完整的得1分，不齐全的不得分；（0-1分）</w:t>
            </w:r>
          </w:p>
          <w:p>
            <w:pPr>
              <w:spacing w:line="460" w:lineRule="exact"/>
              <w:rPr>
                <w:rFonts w:hint="eastAsia"/>
                <w:color w:val="auto"/>
                <w:highlight w:val="none"/>
                <w:lang w:eastAsia="zh-CN"/>
              </w:rPr>
            </w:pPr>
            <w:r>
              <w:rPr>
                <w:rFonts w:hint="eastAsia"/>
                <w:color w:val="auto"/>
                <w:highlight w:val="none"/>
                <w:lang w:eastAsia="zh-CN"/>
              </w:rPr>
              <w:t>2、投标人响应的投标文件规范、装订整齐、无涂改插字现象、每份涉及证明性质的资料均加盖单位公章，得</w:t>
            </w:r>
            <w:r>
              <w:rPr>
                <w:rFonts w:hint="eastAsia"/>
                <w:color w:val="auto"/>
                <w:highlight w:val="none"/>
                <w:lang w:val="en-US" w:eastAsia="zh-CN"/>
              </w:rPr>
              <w:t>2</w:t>
            </w:r>
            <w:r>
              <w:rPr>
                <w:rFonts w:hint="eastAsia"/>
                <w:color w:val="auto"/>
                <w:highlight w:val="none"/>
                <w:lang w:eastAsia="zh-CN"/>
              </w:rPr>
              <w:t>分；有涂改、插字现象但加盖校对章的得</w:t>
            </w:r>
            <w:r>
              <w:rPr>
                <w:rFonts w:hint="eastAsia"/>
                <w:color w:val="auto"/>
                <w:highlight w:val="none"/>
                <w:lang w:val="en-US" w:eastAsia="zh-CN"/>
              </w:rPr>
              <w:t>1</w:t>
            </w:r>
            <w:r>
              <w:rPr>
                <w:rFonts w:hint="eastAsia"/>
                <w:color w:val="auto"/>
                <w:highlight w:val="none"/>
                <w:lang w:eastAsia="zh-CN"/>
              </w:rPr>
              <w:t>分。（0-</w:t>
            </w:r>
            <w:r>
              <w:rPr>
                <w:rFonts w:hint="eastAsia"/>
                <w:color w:val="auto"/>
                <w:highlight w:val="none"/>
                <w:lang w:val="en-US" w:eastAsia="zh-CN"/>
              </w:rPr>
              <w:t>2</w:t>
            </w:r>
            <w:r>
              <w:rPr>
                <w:rFonts w:hint="eastAsia"/>
                <w:color w:val="auto"/>
                <w:highlight w:val="none"/>
                <w:lang w:eastAsia="zh-CN"/>
              </w:rPr>
              <w:t>分）</w:t>
            </w:r>
          </w:p>
        </w:tc>
        <w:tc>
          <w:tcPr>
            <w:tcW w:w="877" w:type="dxa"/>
            <w:tcBorders>
              <w:top w:val="single" w:color="auto" w:sz="4" w:space="0"/>
              <w:left w:val="single" w:color="auto" w:sz="4" w:space="0"/>
              <w:bottom w:val="single" w:color="auto" w:sz="4" w:space="0"/>
              <w:right w:val="single" w:color="auto" w:sz="4" w:space="0"/>
            </w:tcBorders>
            <w:noWrap w:val="0"/>
            <w:vAlign w:val="center"/>
          </w:tcPr>
          <w:p>
            <w:pPr>
              <w:pStyle w:val="31"/>
              <w:spacing w:line="460" w:lineRule="exact"/>
              <w:ind w:firstLine="0" w:firstLineChars="0"/>
              <w:jc w:val="center"/>
              <w:rPr>
                <w:rFonts w:hint="eastAsia" w:ascii="宋体" w:eastAsia="宋体" w:cs="宋体"/>
                <w:color w:val="auto"/>
                <w:kern w:val="2"/>
                <w:highlight w:val="none"/>
                <w:lang w:val="en-US" w:eastAsia="zh-CN"/>
              </w:rPr>
            </w:pPr>
            <w:r>
              <w:rPr>
                <w:rFonts w:hint="eastAsia" w:ascii="宋体" w:eastAsia="宋体" w:cs="宋体"/>
                <w:color w:val="auto"/>
                <w:kern w:val="2"/>
                <w:highlight w:val="none"/>
                <w:lang w:val="en-US" w:eastAsia="zh-CN"/>
              </w:rPr>
              <w:t>3分</w:t>
            </w:r>
          </w:p>
        </w:tc>
      </w:tr>
    </w:tbl>
    <w:p>
      <w:pPr>
        <w:pStyle w:val="2"/>
        <w:rPr>
          <w:rFonts w:hint="default" w:ascii="Times New Roman" w:hAnsi="Times New Roman" w:cs="Times New Roman"/>
          <w:color w:val="auto"/>
          <w:highlight w:val="none"/>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三、商务标评审标准（</w:t>
      </w:r>
      <w:r>
        <w:rPr>
          <w:rFonts w:hint="eastAsia" w:ascii="Times New Roman" w:hAnsi="Times New Roman" w:eastAsia="宋体" w:cs="Times New Roman"/>
          <w:b/>
          <w:color w:val="auto"/>
          <w:sz w:val="21"/>
          <w:szCs w:val="21"/>
          <w:highlight w:val="none"/>
          <w:lang w:val="en-US" w:eastAsia="zh-CN"/>
        </w:rPr>
        <w:t>20</w:t>
      </w:r>
      <w:r>
        <w:rPr>
          <w:rFonts w:hint="default" w:ascii="Times New Roman" w:hAnsi="Times New Roman" w:eastAsia="宋体" w:cs="Times New Roman"/>
          <w:b/>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（一）评标标底价的确定（以元为单位，保留整数）：</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在所有经评审的有效投标报价中，取投标报价的算术平均值作为评标标底价。</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（二）商务标评分分值的计算（计算时小数点后保留2位，第3位四舍五入）。</w:t>
      </w:r>
    </w:p>
    <w:p>
      <w:pPr>
        <w:keepNext w:val="0"/>
        <w:keepLines w:val="0"/>
        <w:pageBreakBefore w:val="0"/>
        <w:widowControl w:val="0"/>
        <w:kinsoku/>
        <w:wordWrap/>
        <w:overflowPunct/>
        <w:topLinePunct w:val="0"/>
        <w:autoSpaceDE/>
        <w:autoSpaceDN/>
        <w:bidi w:val="0"/>
        <w:adjustRightInd/>
        <w:snapToGrid/>
        <w:spacing w:line="360" w:lineRule="auto"/>
        <w:ind w:firstLine="525" w:firstLineChars="25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投标报价</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评标标底价的，得</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分，投标报价每高于或低于评标标底价一个百分点的扣0.5分（商务标分值=</w:t>
      </w:r>
      <w:r>
        <w:rPr>
          <w:rFonts w:hint="eastAsia" w:ascii="Times New Roman" w:hAnsi="Times New Roman" w:cs="Times New Roman"/>
          <w:color w:val="auto"/>
          <w:highlight w:val="none"/>
          <w:lang w:val="en-US" w:eastAsia="zh-CN"/>
        </w:rPr>
        <w:t>20</w:t>
      </w:r>
      <w:r>
        <w:rPr>
          <w:rFonts w:hint="default" w:ascii="Times New Roman" w:hAnsi="Times New Roman" w:cs="Times New Roman"/>
          <w:color w:val="auto"/>
          <w:highlight w:val="none"/>
        </w:rPr>
        <w:t xml:space="preserve"> －| </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EQ \F(投标报价-评标标底价,评标标底价) </w:instrText>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|×100×0.5</w:t>
      </w:r>
      <w:r>
        <w:rPr>
          <w:rFonts w:hint="default" w:ascii="Times New Roman" w:hAnsi="Times New Roman" w:cs="Times New Roman"/>
          <w:color w:val="auto"/>
          <w:szCs w:val="21"/>
          <w:highlight w:val="none"/>
        </w:rPr>
        <w:t>），中间按内插法计算。最多扣</w:t>
      </w:r>
      <w:r>
        <w:rPr>
          <w:rFonts w:hint="eastAsia" w:ascii="Times New Roman" w:hAnsi="Times New Roman" w:cs="Times New Roman"/>
          <w:color w:val="auto"/>
          <w:szCs w:val="21"/>
          <w:highlight w:val="none"/>
          <w:lang w:val="en-US" w:eastAsia="zh-CN"/>
        </w:rPr>
        <w:t>20</w:t>
      </w:r>
      <w:r>
        <w:rPr>
          <w:rFonts w:hint="default" w:ascii="Times New Roman" w:hAnsi="Times New Roman" w:cs="Times New Roman"/>
          <w:color w:val="auto"/>
          <w:szCs w:val="21"/>
          <w:highlight w:val="none"/>
        </w:rPr>
        <w:t>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四、评标总得分（满分为100分，最后结果保留二位小数，小数点后第三位四舍五入）</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投标人的评标总得分=</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技术标得分+商务标得分。</w:t>
      </w:r>
    </w:p>
    <w:p>
      <w:pPr>
        <w:pStyle w:val="16"/>
        <w:spacing w:before="120" w:beforeLines="50" w:after="120" w:afterLines="50" w:line="440" w:lineRule="exact"/>
        <w:ind w:firstLine="422" w:firstLineChars="200"/>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五、中标候选人的确定</w:t>
      </w:r>
    </w:p>
    <w:p>
      <w:pPr>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评标小组按投标人的总得分确定中标候选人，即总得分最高者为中标候选人。如出现得分并列的，以</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技术标得分高的排名在前，总得分和</w:t>
      </w:r>
      <w:r>
        <w:rPr>
          <w:rFonts w:hint="eastAsia" w:ascii="Times New Roman" w:hAnsi="Times New Roman" w:cs="Times New Roman"/>
          <w:color w:val="auto"/>
          <w:szCs w:val="21"/>
          <w:highlight w:val="none"/>
          <w:lang w:eastAsia="zh-CN"/>
        </w:rPr>
        <w:t>资信</w:t>
      </w:r>
      <w:r>
        <w:rPr>
          <w:rFonts w:hint="default" w:ascii="Times New Roman" w:hAnsi="Times New Roman" w:cs="Times New Roman"/>
          <w:color w:val="auto"/>
          <w:szCs w:val="21"/>
          <w:highlight w:val="none"/>
        </w:rPr>
        <w:t>技术标得分相同的，以投标报价低者排名在前；投标报价也相同的，则抽签确定。</w:t>
      </w:r>
    </w:p>
    <w:p>
      <w:pPr>
        <w:pStyle w:val="3"/>
        <w:numPr>
          <w:ilvl w:val="0"/>
          <w:numId w:val="0"/>
        </w:numPr>
        <w:spacing w:line="288" w:lineRule="auto"/>
        <w:jc w:val="center"/>
        <w:rPr>
          <w:rFonts w:hint="default" w:ascii="Times New Roman" w:hAnsi="Times New Roman" w:eastAsia="宋体" w:cs="Times New Roman"/>
          <w:color w:val="auto"/>
          <w:sz w:val="21"/>
          <w:szCs w:val="21"/>
          <w:highlight w:val="none"/>
        </w:rPr>
      </w:pPr>
    </w:p>
    <w:p>
      <w:pPr>
        <w:pStyle w:val="3"/>
        <w:numPr>
          <w:ilvl w:val="0"/>
          <w:numId w:val="0"/>
        </w:numPr>
        <w:spacing w:line="288" w:lineRule="auto"/>
        <w:jc w:val="center"/>
        <w:rPr>
          <w:rFonts w:hint="default" w:ascii="Times New Roman" w:hAnsi="Times New Roman" w:eastAsia="宋体" w:cs="Times New Roman"/>
          <w:color w:val="auto"/>
          <w:sz w:val="21"/>
          <w:szCs w:val="21"/>
          <w:highlight w:val="none"/>
        </w:rPr>
      </w:pPr>
    </w:p>
    <w:p>
      <w:pPr>
        <w:pStyle w:val="3"/>
        <w:numPr>
          <w:ilvl w:val="0"/>
          <w:numId w:val="0"/>
        </w:numPr>
        <w:spacing w:line="288" w:lineRule="auto"/>
        <w:jc w:val="center"/>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1"/>
          <w:highlight w:val="none"/>
        </w:rPr>
        <w:br w:type="page"/>
      </w:r>
      <w:bookmarkStart w:id="344" w:name="_Toc13063_WPSOffice_Level1"/>
      <w:bookmarkStart w:id="345" w:name="_Toc19031_WPSOffice_Level1"/>
      <w:bookmarkStart w:id="346" w:name="_Toc6076_WPSOffice_Level1"/>
      <w:bookmarkStart w:id="347" w:name="_Toc3768_WPSOffice_Level1"/>
      <w:r>
        <w:rPr>
          <w:rFonts w:hint="default" w:ascii="Times New Roman" w:hAnsi="Times New Roman" w:cs="Times New Roman"/>
          <w:color w:val="auto"/>
          <w:highlight w:val="none"/>
          <w:lang w:eastAsia="zh-CN"/>
        </w:rPr>
        <w:t>第四章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服务要求</w:t>
      </w:r>
      <w:bookmarkEnd w:id="344"/>
      <w:bookmarkEnd w:id="345"/>
    </w:p>
    <w:p>
      <w:pPr>
        <w:widowControl/>
        <w:adjustRightInd w:val="0"/>
        <w:snapToGrid w:val="0"/>
        <w:spacing w:line="380" w:lineRule="exact"/>
        <w:ind w:firstLine="420" w:firstLineChars="20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一、服务内容：</w:t>
      </w:r>
    </w:p>
    <w:p>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1、按照</w:t>
      </w:r>
      <w:r>
        <w:rPr>
          <w:rFonts w:hint="eastAsia" w:ascii="Times New Roman" w:hAnsi="Times New Roman" w:eastAsia="宋体" w:cs="Times New Roman"/>
          <w:color w:val="auto"/>
          <w:kern w:val="0"/>
          <w:sz w:val="21"/>
          <w:szCs w:val="21"/>
          <w:highlight w:val="none"/>
          <w:lang w:val="en-US" w:eastAsia="zh-CN" w:bidi="ar-SA"/>
        </w:rPr>
        <w:t>芦浦</w:t>
      </w:r>
      <w:r>
        <w:rPr>
          <w:rFonts w:hint="default" w:ascii="Times New Roman" w:hAnsi="Times New Roman" w:eastAsia="宋体" w:cs="Times New Roman"/>
          <w:color w:val="auto"/>
          <w:kern w:val="0"/>
          <w:sz w:val="21"/>
          <w:szCs w:val="21"/>
          <w:highlight w:val="none"/>
          <w:lang w:val="en-US" w:eastAsia="zh-CN" w:bidi="ar-SA"/>
        </w:rPr>
        <w:t>镇“病媒生物防制”工作基本要求来操作，按照</w:t>
      </w:r>
      <w:r>
        <w:rPr>
          <w:rFonts w:hint="eastAsia" w:ascii="Times New Roman" w:hAnsi="Times New Roman" w:eastAsia="宋体" w:cs="Times New Roman"/>
          <w:color w:val="auto"/>
          <w:kern w:val="0"/>
          <w:sz w:val="21"/>
          <w:szCs w:val="21"/>
          <w:highlight w:val="none"/>
          <w:lang w:val="en-US" w:eastAsia="zh-CN" w:bidi="ar-SA"/>
        </w:rPr>
        <w:t>芦浦</w:t>
      </w:r>
      <w:r>
        <w:rPr>
          <w:rFonts w:hint="default" w:ascii="Times New Roman" w:hAnsi="Times New Roman" w:eastAsia="宋体" w:cs="Times New Roman"/>
          <w:color w:val="auto"/>
          <w:kern w:val="0"/>
          <w:sz w:val="21"/>
          <w:szCs w:val="21"/>
          <w:highlight w:val="none"/>
          <w:lang w:val="en-US" w:eastAsia="zh-CN" w:bidi="ar-SA"/>
        </w:rPr>
        <w:t>“除四害”工作基本要求来操作，总面积</w:t>
      </w:r>
      <w:r>
        <w:rPr>
          <w:rFonts w:hint="eastAsia" w:ascii="Times New Roman" w:hAnsi="Times New Roman" w:eastAsia="宋体" w:cs="Times New Roman"/>
          <w:color w:val="auto"/>
          <w:kern w:val="0"/>
          <w:sz w:val="21"/>
          <w:szCs w:val="21"/>
          <w:highlight w:val="none"/>
          <w:lang w:val="en-US" w:eastAsia="zh-CN" w:bidi="ar-SA"/>
        </w:rPr>
        <w:t>19.67</w:t>
      </w:r>
      <w:r>
        <w:rPr>
          <w:rFonts w:hint="default" w:ascii="Times New Roman" w:hAnsi="Times New Roman" w:eastAsia="宋体" w:cs="Times New Roman"/>
          <w:color w:val="auto"/>
          <w:kern w:val="0"/>
          <w:sz w:val="21"/>
          <w:szCs w:val="21"/>
          <w:highlight w:val="none"/>
          <w:lang w:val="en-US" w:eastAsia="zh-CN" w:bidi="ar-SA"/>
        </w:rPr>
        <w:t>平方公里，行政村</w:t>
      </w:r>
      <w:r>
        <w:rPr>
          <w:rFonts w:hint="eastAsia" w:ascii="Times New Roman" w:hAnsi="Times New Roman" w:eastAsia="宋体" w:cs="Times New Roman"/>
          <w:color w:val="auto"/>
          <w:kern w:val="0"/>
          <w:sz w:val="21"/>
          <w:szCs w:val="21"/>
          <w:highlight w:val="none"/>
          <w:lang w:val="en-US" w:eastAsia="zh-CN" w:bidi="ar-SA"/>
        </w:rPr>
        <w:t>12</w:t>
      </w:r>
      <w:r>
        <w:rPr>
          <w:rFonts w:hint="default" w:ascii="Times New Roman" w:hAnsi="Times New Roman" w:eastAsia="宋体" w:cs="Times New Roman"/>
          <w:color w:val="auto"/>
          <w:kern w:val="0"/>
          <w:sz w:val="21"/>
          <w:szCs w:val="21"/>
          <w:highlight w:val="none"/>
          <w:lang w:val="en-US" w:eastAsia="zh-CN" w:bidi="ar-SA"/>
        </w:rPr>
        <w:t>个（</w:t>
      </w:r>
      <w:r>
        <w:rPr>
          <w:rFonts w:hint="eastAsia" w:ascii="Times New Roman" w:hAnsi="Times New Roman" w:eastAsia="宋体" w:cs="Times New Roman"/>
          <w:color w:val="auto"/>
          <w:kern w:val="0"/>
          <w:sz w:val="21"/>
          <w:szCs w:val="21"/>
          <w:highlight w:val="none"/>
          <w:lang w:val="en-US" w:eastAsia="zh-CN" w:bidi="ar-SA"/>
        </w:rPr>
        <w:t>6000</w:t>
      </w:r>
      <w:r>
        <w:rPr>
          <w:rFonts w:hint="default" w:ascii="Times New Roman" w:hAnsi="Times New Roman" w:eastAsia="宋体" w:cs="Times New Roman"/>
          <w:color w:val="auto"/>
          <w:kern w:val="0"/>
          <w:sz w:val="21"/>
          <w:szCs w:val="21"/>
          <w:highlight w:val="none"/>
          <w:lang w:val="en-US" w:eastAsia="zh-CN" w:bidi="ar-SA"/>
        </w:rPr>
        <w:t>户），</w:t>
      </w:r>
      <w:r>
        <w:rPr>
          <w:rFonts w:hint="eastAsia" w:ascii="Times New Roman" w:hAnsi="Times New Roman" w:eastAsia="宋体" w:cs="Times New Roman"/>
          <w:color w:val="auto"/>
          <w:kern w:val="0"/>
          <w:sz w:val="21"/>
          <w:szCs w:val="21"/>
          <w:highlight w:val="none"/>
          <w:lang w:val="en-US" w:eastAsia="zh-CN" w:bidi="ar-SA"/>
        </w:rPr>
        <w:t>公园5座、</w:t>
      </w:r>
      <w:r>
        <w:rPr>
          <w:rFonts w:hint="default" w:ascii="Times New Roman" w:hAnsi="Times New Roman" w:eastAsia="宋体" w:cs="Times New Roman"/>
          <w:color w:val="auto"/>
          <w:kern w:val="0"/>
          <w:sz w:val="21"/>
          <w:szCs w:val="21"/>
          <w:highlight w:val="none"/>
          <w:lang w:val="en-US" w:eastAsia="zh-CN" w:bidi="ar-SA"/>
        </w:rPr>
        <w:t>公</w:t>
      </w:r>
      <w:r>
        <w:rPr>
          <w:rFonts w:hint="eastAsia" w:ascii="Times New Roman" w:hAnsi="Times New Roman" w:eastAsia="宋体" w:cs="Times New Roman"/>
          <w:color w:val="auto"/>
          <w:kern w:val="0"/>
          <w:sz w:val="21"/>
          <w:szCs w:val="21"/>
          <w:highlight w:val="none"/>
          <w:lang w:val="en-US" w:eastAsia="zh-CN" w:bidi="ar-SA"/>
        </w:rPr>
        <w:t>厕42</w:t>
      </w:r>
      <w:r>
        <w:rPr>
          <w:rFonts w:hint="default" w:ascii="Times New Roman" w:hAnsi="Times New Roman" w:eastAsia="宋体" w:cs="Times New Roman"/>
          <w:color w:val="auto"/>
          <w:kern w:val="0"/>
          <w:sz w:val="21"/>
          <w:szCs w:val="21"/>
          <w:highlight w:val="none"/>
          <w:lang w:val="en-US" w:eastAsia="zh-CN" w:bidi="ar-SA"/>
        </w:rPr>
        <w:t>座</w:t>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店面</w:t>
      </w:r>
      <w:r>
        <w:rPr>
          <w:rFonts w:hint="eastAsia" w:ascii="Times New Roman" w:hAnsi="Times New Roman" w:eastAsia="宋体" w:cs="Times New Roman"/>
          <w:color w:val="auto"/>
          <w:kern w:val="0"/>
          <w:sz w:val="21"/>
          <w:szCs w:val="21"/>
          <w:highlight w:val="none"/>
          <w:lang w:val="en-US" w:eastAsia="zh-CN" w:bidi="ar-SA"/>
        </w:rPr>
        <w:t>580余家</w:t>
      </w:r>
      <w:r>
        <w:rPr>
          <w:rFonts w:hint="default" w:ascii="Times New Roman" w:hAnsi="Times New Roman" w:eastAsia="宋体" w:cs="Times New Roman"/>
          <w:color w:val="auto"/>
          <w:kern w:val="0"/>
          <w:sz w:val="21"/>
          <w:szCs w:val="21"/>
          <w:highlight w:val="none"/>
          <w:lang w:val="en-US" w:eastAsia="zh-CN" w:bidi="ar-SA"/>
        </w:rPr>
        <w:t>、学校</w:t>
      </w:r>
      <w:r>
        <w:rPr>
          <w:rFonts w:hint="eastAsia" w:ascii="Times New Roman" w:hAnsi="Times New Roman" w:eastAsia="宋体" w:cs="Times New Roman"/>
          <w:color w:val="auto"/>
          <w:kern w:val="0"/>
          <w:sz w:val="21"/>
          <w:szCs w:val="21"/>
          <w:highlight w:val="none"/>
          <w:lang w:val="en-US" w:eastAsia="zh-CN" w:bidi="ar-SA"/>
        </w:rPr>
        <w:t>4</w:t>
      </w:r>
      <w:r>
        <w:rPr>
          <w:rFonts w:hint="default" w:ascii="Times New Roman" w:hAnsi="Times New Roman" w:eastAsia="宋体" w:cs="Times New Roman"/>
          <w:color w:val="auto"/>
          <w:kern w:val="0"/>
          <w:sz w:val="21"/>
          <w:szCs w:val="21"/>
          <w:highlight w:val="none"/>
          <w:lang w:val="en-US" w:eastAsia="zh-CN" w:bidi="ar-SA"/>
        </w:rPr>
        <w:t>所、拉圾中转站</w:t>
      </w:r>
      <w:r>
        <w:rPr>
          <w:rFonts w:hint="eastAsia" w:ascii="Times New Roman" w:hAnsi="Times New Roman" w:eastAsia="宋体" w:cs="Times New Roman"/>
          <w:color w:val="auto"/>
          <w:kern w:val="0"/>
          <w:sz w:val="21"/>
          <w:szCs w:val="21"/>
          <w:highlight w:val="none"/>
          <w:lang w:val="en-US" w:eastAsia="zh-CN" w:bidi="ar-SA"/>
        </w:rPr>
        <w:t>1</w:t>
      </w:r>
      <w:r>
        <w:rPr>
          <w:rFonts w:hint="default" w:ascii="Times New Roman" w:hAnsi="Times New Roman" w:eastAsia="宋体" w:cs="Times New Roman"/>
          <w:color w:val="auto"/>
          <w:kern w:val="0"/>
          <w:sz w:val="21"/>
          <w:szCs w:val="21"/>
          <w:highlight w:val="none"/>
          <w:lang w:val="en-US" w:eastAsia="zh-CN" w:bidi="ar-SA"/>
        </w:rPr>
        <w:t>个、菜场</w:t>
      </w:r>
      <w:r>
        <w:rPr>
          <w:rFonts w:hint="eastAsia" w:ascii="Times New Roman" w:hAnsi="Times New Roman" w:eastAsia="宋体" w:cs="Times New Roman"/>
          <w:color w:val="auto"/>
          <w:kern w:val="0"/>
          <w:sz w:val="21"/>
          <w:szCs w:val="21"/>
          <w:highlight w:val="none"/>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个、车站1个、</w:t>
      </w:r>
      <w:r>
        <w:rPr>
          <w:rFonts w:hint="eastAsia" w:ascii="Times New Roman" w:hAnsi="Times New Roman" w:eastAsia="宋体" w:cs="Times New Roman"/>
          <w:color w:val="auto"/>
          <w:kern w:val="0"/>
          <w:sz w:val="21"/>
          <w:szCs w:val="21"/>
          <w:highlight w:val="none"/>
          <w:lang w:val="en-US" w:eastAsia="zh-CN" w:bidi="ar-SA"/>
        </w:rPr>
        <w:t>健康步道3条、雨污水窨井1800座</w:t>
      </w:r>
      <w:r>
        <w:rPr>
          <w:rFonts w:hint="default" w:ascii="Times New Roman" w:hAnsi="Times New Roman" w:eastAsia="宋体"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毒</w:t>
      </w:r>
      <w:r>
        <w:rPr>
          <w:rFonts w:hint="default" w:ascii="Times New Roman" w:hAnsi="Times New Roman" w:eastAsia="宋体" w:cs="Times New Roman"/>
          <w:color w:val="auto"/>
          <w:kern w:val="0"/>
          <w:sz w:val="21"/>
          <w:szCs w:val="21"/>
          <w:highlight w:val="none"/>
          <w:lang w:val="en-US" w:eastAsia="zh-CN" w:bidi="ar-SA"/>
        </w:rPr>
        <w:t>饵站</w:t>
      </w:r>
      <w:r>
        <w:rPr>
          <w:rFonts w:hint="eastAsia" w:ascii="Times New Roman" w:hAnsi="Times New Roman" w:eastAsia="宋体" w:cs="Times New Roman"/>
          <w:color w:val="auto"/>
          <w:kern w:val="0"/>
          <w:sz w:val="21"/>
          <w:szCs w:val="21"/>
          <w:highlight w:val="none"/>
          <w:lang w:val="en-US" w:eastAsia="zh-CN" w:bidi="ar-SA"/>
        </w:rPr>
        <w:t>600</w:t>
      </w:r>
      <w:r>
        <w:rPr>
          <w:rFonts w:hint="default" w:ascii="Times New Roman" w:hAnsi="Times New Roman" w:eastAsia="宋体" w:cs="Times New Roman"/>
          <w:color w:val="auto"/>
          <w:kern w:val="0"/>
          <w:sz w:val="21"/>
          <w:szCs w:val="21"/>
          <w:highlight w:val="none"/>
          <w:lang w:val="en-US" w:eastAsia="zh-CN" w:bidi="ar-SA"/>
        </w:rPr>
        <w:t>只、河岩大型水体</w:t>
      </w:r>
      <w:r>
        <w:rPr>
          <w:rFonts w:hint="eastAsia" w:ascii="Times New Roman" w:hAnsi="Times New Roman" w:eastAsia="宋体" w:cs="Times New Roman"/>
          <w:color w:val="auto"/>
          <w:kern w:val="0"/>
          <w:sz w:val="21"/>
          <w:szCs w:val="21"/>
          <w:highlight w:val="none"/>
          <w:lang w:val="en-US" w:eastAsia="zh-CN" w:bidi="ar-SA"/>
        </w:rPr>
        <w:t>15公里</w:t>
      </w:r>
      <w:r>
        <w:rPr>
          <w:rFonts w:hint="default" w:ascii="Times New Roman" w:hAnsi="Times New Roman" w:eastAsia="宋体" w:cs="Times New Roman"/>
          <w:color w:val="auto"/>
          <w:kern w:val="0"/>
          <w:sz w:val="21"/>
          <w:szCs w:val="21"/>
          <w:highlight w:val="none"/>
          <w:lang w:val="en-US" w:eastAsia="zh-CN" w:bidi="ar-SA"/>
        </w:rPr>
        <w:t>、绿化</w:t>
      </w:r>
      <w:r>
        <w:rPr>
          <w:rFonts w:hint="eastAsia" w:ascii="Times New Roman" w:hAnsi="Times New Roman" w:eastAsia="宋体" w:cs="Times New Roman"/>
          <w:color w:val="auto"/>
          <w:kern w:val="0"/>
          <w:sz w:val="21"/>
          <w:szCs w:val="21"/>
          <w:highlight w:val="none"/>
          <w:lang w:val="en-US" w:eastAsia="zh-CN" w:bidi="ar-SA"/>
        </w:rPr>
        <w:t>7.48平方公里</w:t>
      </w:r>
      <w:r>
        <w:rPr>
          <w:rFonts w:hint="default" w:ascii="Times New Roman" w:hAnsi="Times New Roman" w:eastAsia="宋体"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垃圾</w:t>
      </w:r>
      <w:r>
        <w:rPr>
          <w:rFonts w:hint="default" w:ascii="Times New Roman" w:hAnsi="Times New Roman" w:eastAsia="宋体" w:cs="Times New Roman"/>
          <w:color w:val="auto"/>
          <w:kern w:val="0"/>
          <w:sz w:val="21"/>
          <w:szCs w:val="21"/>
          <w:highlight w:val="none"/>
          <w:lang w:val="en-US" w:eastAsia="zh-CN" w:bidi="ar-SA"/>
        </w:rPr>
        <w:t>桶</w:t>
      </w:r>
      <w:r>
        <w:rPr>
          <w:rFonts w:hint="eastAsia" w:ascii="Times New Roman" w:hAnsi="Times New Roman" w:eastAsia="宋体" w:cs="Times New Roman"/>
          <w:color w:val="auto"/>
          <w:kern w:val="0"/>
          <w:sz w:val="21"/>
          <w:szCs w:val="21"/>
          <w:highlight w:val="none"/>
          <w:lang w:val="en-US" w:eastAsia="zh-CN" w:bidi="ar-SA"/>
        </w:rPr>
        <w:t>1300</w:t>
      </w:r>
      <w:r>
        <w:rPr>
          <w:rFonts w:hint="default" w:ascii="Times New Roman" w:hAnsi="Times New Roman" w:eastAsia="宋体" w:cs="Times New Roman"/>
          <w:color w:val="auto"/>
          <w:kern w:val="0"/>
          <w:sz w:val="21"/>
          <w:szCs w:val="21"/>
          <w:highlight w:val="none"/>
          <w:lang w:val="en-US" w:eastAsia="zh-CN" w:bidi="ar-SA"/>
        </w:rPr>
        <w:t>只</w:t>
      </w:r>
      <w:r>
        <w:rPr>
          <w:rFonts w:hint="eastAsia" w:ascii="Times New Roman" w:hAnsi="Times New Roman" w:eastAsia="宋体" w:cs="Times New Roman"/>
          <w:color w:val="auto"/>
          <w:kern w:val="0"/>
          <w:sz w:val="21"/>
          <w:szCs w:val="21"/>
          <w:highlight w:val="none"/>
          <w:lang w:val="en-US" w:eastAsia="zh-CN" w:bidi="ar-SA"/>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2、按创建</w:t>
      </w:r>
      <w:r>
        <w:rPr>
          <w:rFonts w:hint="eastAsia" w:ascii="Times New Roman" w:hAnsi="Times New Roman" w:cs="Times New Roman"/>
          <w:color w:val="auto"/>
          <w:kern w:val="0"/>
          <w:szCs w:val="21"/>
          <w:highlight w:val="none"/>
          <w:lang w:eastAsia="zh-CN"/>
        </w:rPr>
        <w:t>国家</w:t>
      </w:r>
      <w:r>
        <w:rPr>
          <w:rFonts w:hint="default" w:ascii="Times New Roman" w:hAnsi="Times New Roman" w:cs="Times New Roman"/>
          <w:color w:val="auto"/>
          <w:kern w:val="0"/>
          <w:szCs w:val="21"/>
          <w:highlight w:val="none"/>
        </w:rPr>
        <w:t>卫生镇要求，全部统一开展公共外环境投药及消杀。全年共消18次。（如因实际需要业主要求增加消杀次数，承包人必须无条件配合，费用由承包人在报价时综合考虑风险，已含在合同价内，不在另行增加费用）</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12</w:t>
      </w:r>
      <w:r>
        <w:rPr>
          <w:rFonts w:hint="default" w:ascii="Times New Roman" w:hAnsi="Times New Roman" w:cs="Times New Roman"/>
          <w:color w:val="auto"/>
          <w:kern w:val="21"/>
          <w:sz w:val="21"/>
          <w:szCs w:val="21"/>
          <w:highlight w:val="none"/>
        </w:rPr>
        <w:t>个（</w:t>
      </w:r>
      <w:r>
        <w:rPr>
          <w:rFonts w:hint="eastAsia" w:ascii="Times New Roman" w:hAnsi="Times New Roman" w:cs="Times New Roman"/>
          <w:color w:val="auto"/>
          <w:kern w:val="21"/>
          <w:sz w:val="21"/>
          <w:szCs w:val="21"/>
          <w:highlight w:val="none"/>
          <w:lang w:val="en-US" w:eastAsia="zh-CN"/>
        </w:rPr>
        <w:t>6000</w:t>
      </w:r>
      <w:r>
        <w:rPr>
          <w:rFonts w:hint="default" w:ascii="Times New Roman" w:hAnsi="Times New Roman" w:cs="Times New Roman"/>
          <w:color w:val="auto"/>
          <w:kern w:val="21"/>
          <w:sz w:val="21"/>
          <w:szCs w:val="21"/>
          <w:highlight w:val="none"/>
        </w:rPr>
        <w:t>户）居民进行药物集中发放，并由</w:t>
      </w:r>
      <w:r>
        <w:rPr>
          <w:rFonts w:hint="eastAsia" w:ascii="Times New Roman" w:hAnsi="Times New Roman" w:cs="Times New Roman"/>
          <w:color w:val="auto"/>
          <w:kern w:val="0"/>
          <w:szCs w:val="21"/>
          <w:highlight w:val="none"/>
          <w:lang w:val="en-US" w:eastAsia="zh-CN"/>
        </w:rPr>
        <w:t>投标人</w:t>
      </w:r>
      <w:r>
        <w:rPr>
          <w:rFonts w:hint="default" w:ascii="Times New Roman" w:hAnsi="Times New Roman" w:cs="Times New Roman"/>
          <w:color w:val="auto"/>
          <w:kern w:val="21"/>
          <w:sz w:val="21"/>
          <w:szCs w:val="21"/>
          <w:highlight w:val="none"/>
        </w:rPr>
        <w:t>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二</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委托承包工作标准</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按照</w:t>
      </w:r>
      <w:r>
        <w:rPr>
          <w:rFonts w:hint="default" w:ascii="Times New Roman" w:hAnsi="Times New Roman" w:cs="Times New Roman"/>
          <w:color w:val="auto"/>
          <w:kern w:val="0"/>
          <w:szCs w:val="21"/>
          <w:highlight w:val="none"/>
        </w:rPr>
        <w:t>《国家卫生城市标准（2014版）》、全国爱卫会《病媒生物预防控制管理规定》、中华人民共和国国家标准《病媒生物综合管理技术规范城镇（GB/T27775-2011）》、《病媒生物密度监测方法》（GB/T23795-23798）》、《病媒生物密度控制水平（GB/T27770-27773）》等标准规范要求。</w:t>
      </w:r>
    </w:p>
    <w:p>
      <w:pPr>
        <w:widowControl/>
        <w:adjustRightInd w:val="0"/>
        <w:snapToGrid w:val="0"/>
        <w:spacing w:line="38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芦浦镇区域内基本无蚊、蝇、蟑螂、鼠活动，其密度达到国家对特殊行业的卫生检查标准以内。</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0"/>
          <w:szCs w:val="21"/>
          <w:highlight w:val="none"/>
          <w:lang w:eastAsia="zh-CN"/>
        </w:rPr>
        <w:t>蚊蝇密度达到国家标准</w:t>
      </w:r>
      <w:r>
        <w:rPr>
          <w:rFonts w:hint="eastAsia" w:ascii="Times New Roman" w:hAnsi="Times New Roman" w:cs="Times New Roman"/>
          <w:color w:val="auto"/>
          <w:kern w:val="0"/>
          <w:szCs w:val="21"/>
          <w:highlight w:val="none"/>
          <w:lang w:val="en-US" w:eastAsia="zh-CN"/>
        </w:rPr>
        <w:t>3倍以内</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r>
        <w:rPr>
          <w:rFonts w:hint="eastAsia" w:ascii="Times New Roman" w:hAnsi="Times New Roman" w:cs="Times New Roman"/>
          <w:color w:val="auto"/>
          <w:kern w:val="0"/>
          <w:szCs w:val="21"/>
          <w:highlight w:val="none"/>
          <w:lang w:eastAsia="zh-CN"/>
        </w:rPr>
        <w:t>药物发放标准（辖区内约</w:t>
      </w:r>
      <w:r>
        <w:rPr>
          <w:rFonts w:hint="eastAsia" w:ascii="Times New Roman" w:hAnsi="Times New Roman" w:cs="Times New Roman"/>
          <w:color w:val="auto"/>
          <w:kern w:val="0"/>
          <w:szCs w:val="21"/>
          <w:highlight w:val="none"/>
          <w:lang w:val="en-US" w:eastAsia="zh-CN"/>
        </w:rPr>
        <w:t>6000户</w:t>
      </w:r>
      <w:r>
        <w:rPr>
          <w:rFonts w:hint="eastAsia" w:ascii="Times New Roman" w:hAnsi="Times New Roman" w:cs="Times New Roman"/>
          <w:color w:val="auto"/>
          <w:kern w:val="0"/>
          <w:szCs w:val="21"/>
          <w:highlight w:val="none"/>
          <w:lang w:eastAsia="zh-CN"/>
        </w:rPr>
        <w:t>）灭鼠药：需要</w:t>
      </w:r>
      <w:r>
        <w:rPr>
          <w:rFonts w:hint="eastAsia" w:ascii="Times New Roman" w:hAnsi="Times New Roman" w:cs="Times New Roman"/>
          <w:color w:val="auto"/>
          <w:kern w:val="0"/>
          <w:szCs w:val="21"/>
          <w:highlight w:val="none"/>
          <w:lang w:val="en-US" w:eastAsia="zh-CN"/>
        </w:rPr>
        <w:t>0.005%溴鼠灵每户100克（2包）；灭蟑药：需1%乙酰甲胺磷饵粒每户2包，并由投标人做好药物投放的指导工作。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r>
        <w:rPr>
          <w:rFonts w:hint="eastAsia" w:ascii="Times New Roman" w:hAnsi="Times New Roman" w:cs="Times New Roman"/>
          <w:color w:val="auto"/>
          <w:kern w:val="0"/>
          <w:szCs w:val="21"/>
          <w:highlight w:val="none"/>
          <w:lang w:eastAsia="zh-CN"/>
        </w:rPr>
        <w:t>消杀效果评估：根据《国家卫生城市标准》，《关于病媒生物预防控制效果现场评估的指导意见》浙爱卫（</w:t>
      </w:r>
      <w:r>
        <w:rPr>
          <w:rFonts w:hint="eastAsia" w:ascii="Times New Roman" w:hAnsi="Times New Roman" w:cs="Times New Roman"/>
          <w:color w:val="auto"/>
          <w:kern w:val="0"/>
          <w:szCs w:val="21"/>
          <w:highlight w:val="none"/>
          <w:lang w:val="en-US" w:eastAsia="zh-CN"/>
        </w:rPr>
        <w:t>2014</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4号文件及玉环爱卫办指定的督查考核办法等相关规定</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三</w:t>
      </w:r>
      <w:r>
        <w:rPr>
          <w:rFonts w:hint="default" w:ascii="Times New Roman" w:hAnsi="Times New Roman" w:cs="Times New Roman"/>
          <w:color w:val="auto"/>
          <w:kern w:val="0"/>
          <w:szCs w:val="21"/>
          <w:highlight w:val="none"/>
        </w:rPr>
        <w:t>、服务期限：</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2020年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日至2021年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四</w:t>
      </w:r>
      <w:r>
        <w:rPr>
          <w:rFonts w:hint="default" w:ascii="Times New Roman" w:hAnsi="Times New Roman" w:cs="Times New Roman"/>
          <w:color w:val="auto"/>
          <w:kern w:val="0"/>
          <w:szCs w:val="21"/>
          <w:highlight w:val="none"/>
        </w:rPr>
        <w:t>、其他要求：</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为更好地开展病媒生物防制业务，消杀公司有一整套完整的消杀服务工作制度，根据实际和行业特点，制定辖区消杀范围公共外环境除“四害”防制技术方案、实施方案、监测方案，具有可操作性的每月计划和工作进度表。按照不同病媒生物特点、不同季节、不同地点等环境特点，科学合理安排消杀次数，重点场所应根据实际情况增加消杀次数。</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消杀公司根据采购方要求的药品（有效成分）数量选购提供相应的消杀药物，所提供的药物做到证件（具有有效的农药登记证或农药临时登记证、农药生产许可证或农药生产批准文件、检测报告等）齐全、进货渠道规范、药性敏感强，按照技术方案要求规定合理使用药物，使用剂量、浓度、时间、消杀方法等符合技术规定，制定药物使用规范，禁止使用国家明令禁止使用的各类药物。中标后不得随意更换使用其它消杀药物，每批次药物需送招标人留样保存，公司使用的药物与备案药物必须完全一致。</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3.作业人员必须达到：</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（1）项目负责人必须同时具备以下条件：有病媒生物防制从业培训合格证明或有害生物防制资格证明；有3年以上从事病媒生物防制的工作经验（如是证书更换可凭证书发放单位证明原件）；</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（2）工作人员必须同时具备以下条件：日常须有常驻具有病媒生物防制培训合格证明或有害生物防制资格证明的作业人员；应急或迎检期间不得少于10名持有以上证明的作业人员。</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（3）病媒生物预防控制应当符合国家规定的技术标准和操作规程，保障人生安全，避免和减少环境污染。</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（4）病媒生物消杀药物的生产、经营、储存、使用，应当符合农药管理，危险化学品安全管理等法规的规定。</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服务要求：根据要求制定孳生地调查方案和毒饵站及灭蝇笼布置及管理方案，员工培训计划、四害防制宣传教育方案。作业期间穿统一工作服和佩戴上岗证，员工持证上岗，规范操作，文明作业，规范登记作业单。消杀期间，不能影响作业单位的日常工作，消杀覆盖率100%。公司具有消杀人员管理考核细则和药物管理等规范管理制度，消杀工作实行日报制和巡查、监督、反馈、考核制度等现代管理模式。没有达到上述要求的，招标人将依据督查考核办法进行处罚，相关处罚款直接从中标合同款中扣减。</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完成除四害消杀服务指导工作，做好技术支持。每月做好灭杀前后的密度监测报告和药械消耗、每月工作小结等过程性台账资料。按社区、村、“六小”行业做好消杀资料收集、整理、总结、上报等资料收集工作。采取日巡查、月例会、季考核等督查考核管理机制。</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6.应急处理。制定国家级卫生城市评审考核迎检应急工作预案和药物中毒处置预案、突发事件应急预案等，辖区内出现突发疫情或重大病媒生物入侵事件，按上级爱卫会和卫生主管部门的要求，启动应急预案，迅速组织力量（人、药、器械到位），开展环境消杀，在最短时间内控制疫情（虫害），积极参加政府组织的公益性消杀活动。发生小孩、宠物误食时，消杀单位应积极处理好被误食的小孩或宠物的救治工作，由此产生的一切费用和责任由中标单位负责。迎检期间中标公司需免费提供药物及帮助完成其他突击应急任务。</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7</w:t>
      </w:r>
      <w:r>
        <w:rPr>
          <w:rFonts w:hint="default" w:ascii="Times New Roman" w:hAnsi="Times New Roman" w:cs="Times New Roman"/>
          <w:color w:val="auto"/>
          <w:kern w:val="0"/>
          <w:szCs w:val="21"/>
          <w:highlight w:val="none"/>
        </w:rPr>
        <w:t>.具体督查考核管理办法，由招标人下发给中标公司执行。</w:t>
      </w: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6"/>
        <w:adjustRightInd w:val="0"/>
        <w:snapToGrid w:val="0"/>
        <w:spacing w:line="360" w:lineRule="auto"/>
        <w:jc w:val="center"/>
        <w:outlineLvl w:val="0"/>
        <w:rPr>
          <w:rFonts w:hint="default" w:ascii="Times New Roman" w:hAnsi="Times New Roman" w:eastAsia="黑体" w:cs="Times New Roman"/>
          <w:b/>
          <w:color w:val="auto"/>
          <w:kern w:val="44"/>
          <w:szCs w:val="32"/>
          <w:highlight w:val="none"/>
          <w:lang w:val="en-US" w:eastAsia="zh-CN"/>
        </w:rPr>
      </w:pPr>
      <w:r>
        <w:rPr>
          <w:rFonts w:hint="default" w:ascii="Times New Roman" w:hAnsi="Times New Roman" w:eastAsia="黑体" w:cs="Times New Roman"/>
          <w:b/>
          <w:color w:val="auto"/>
          <w:kern w:val="44"/>
          <w:szCs w:val="32"/>
          <w:highlight w:val="none"/>
          <w:lang w:val="en-US" w:eastAsia="zh-CN"/>
        </w:rPr>
        <w:t>第五章  合同条款</w:t>
      </w:r>
      <w:bookmarkEnd w:id="338"/>
      <w:bookmarkEnd w:id="343"/>
      <w:bookmarkEnd w:id="346"/>
      <w:bookmarkEnd w:id="347"/>
    </w:p>
    <w:p>
      <w:pPr>
        <w:widowControl/>
        <w:adjustRightInd w:val="0"/>
        <w:snapToGrid w:val="0"/>
        <w:spacing w:line="520" w:lineRule="exact"/>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甲方：</w:t>
      </w:r>
      <w:r>
        <w:rPr>
          <w:rFonts w:hint="eastAsia" w:ascii="Times New Roman" w:hAnsi="Times New Roman" w:cs="Times New Roman"/>
          <w:bCs/>
          <w:color w:val="auto"/>
          <w:kern w:val="0"/>
          <w:szCs w:val="21"/>
          <w:highlight w:val="none"/>
          <w:lang w:eastAsia="zh-CN"/>
        </w:rPr>
        <w:t>玉环市芦浦镇人民政府</w:t>
      </w:r>
    </w:p>
    <w:p>
      <w:pPr>
        <w:widowControl/>
        <w:adjustRightInd w:val="0"/>
        <w:snapToGrid w:val="0"/>
        <w:spacing w:line="520" w:lineRule="exact"/>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乙方：</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根据特殊行业的卫生要求和相关疾病预防与控制的要求，甲乙双方一招《中华人民共和国合同法》及其他法律和行政法规的规定，遵循平等、自愿、公开和诚实信用的原则，先就芦浦镇辖区内消杀蚊虫、苍蝇、蟑螂与灭鼠等工作事宜委托承包给乙方，经甲乙双方协商一致达成以下条款</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一、服务内容：</w:t>
      </w:r>
    </w:p>
    <w:p>
      <w:pPr>
        <w:pStyle w:val="35"/>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按照</w:t>
      </w:r>
      <w:r>
        <w:rPr>
          <w:rFonts w:hint="eastAsia" w:ascii="Times New Roman" w:hAnsi="Times New Roman" w:eastAsia="宋体" w:cs="Times New Roman"/>
          <w:color w:val="auto"/>
          <w:kern w:val="0"/>
          <w:sz w:val="21"/>
          <w:szCs w:val="21"/>
          <w:highlight w:val="none"/>
          <w:lang w:val="en-US" w:eastAsia="zh-CN" w:bidi="ar-SA"/>
        </w:rPr>
        <w:t>芦浦</w:t>
      </w:r>
      <w:r>
        <w:rPr>
          <w:rFonts w:hint="default" w:ascii="Times New Roman" w:hAnsi="Times New Roman" w:eastAsia="宋体" w:cs="Times New Roman"/>
          <w:color w:val="auto"/>
          <w:kern w:val="0"/>
          <w:sz w:val="21"/>
          <w:szCs w:val="21"/>
          <w:highlight w:val="none"/>
          <w:lang w:val="en-US" w:eastAsia="zh-CN" w:bidi="ar-SA"/>
        </w:rPr>
        <w:t>镇“病媒生物防制”工作基本要求来操作，按照</w:t>
      </w:r>
      <w:r>
        <w:rPr>
          <w:rFonts w:hint="eastAsia" w:ascii="Times New Roman" w:hAnsi="Times New Roman" w:eastAsia="宋体" w:cs="Times New Roman"/>
          <w:color w:val="auto"/>
          <w:kern w:val="0"/>
          <w:sz w:val="21"/>
          <w:szCs w:val="21"/>
          <w:highlight w:val="none"/>
          <w:lang w:val="en-US" w:eastAsia="zh-CN" w:bidi="ar-SA"/>
        </w:rPr>
        <w:t>芦浦</w:t>
      </w:r>
      <w:r>
        <w:rPr>
          <w:rFonts w:hint="default" w:ascii="Times New Roman" w:hAnsi="Times New Roman" w:eastAsia="宋体" w:cs="Times New Roman"/>
          <w:color w:val="auto"/>
          <w:kern w:val="0"/>
          <w:sz w:val="21"/>
          <w:szCs w:val="21"/>
          <w:highlight w:val="none"/>
          <w:lang w:val="en-US" w:eastAsia="zh-CN" w:bidi="ar-SA"/>
        </w:rPr>
        <w:t>“除四害”工作基本要求来操作，总面积</w:t>
      </w:r>
      <w:r>
        <w:rPr>
          <w:rFonts w:hint="eastAsia" w:ascii="Times New Roman" w:hAnsi="Times New Roman" w:eastAsia="宋体" w:cs="Times New Roman"/>
          <w:color w:val="auto"/>
          <w:kern w:val="0"/>
          <w:sz w:val="21"/>
          <w:szCs w:val="21"/>
          <w:highlight w:val="none"/>
          <w:lang w:val="en-US" w:eastAsia="zh-CN" w:bidi="ar-SA"/>
        </w:rPr>
        <w:t>19.67</w:t>
      </w:r>
      <w:r>
        <w:rPr>
          <w:rFonts w:hint="default" w:ascii="Times New Roman" w:hAnsi="Times New Roman" w:eastAsia="宋体" w:cs="Times New Roman"/>
          <w:color w:val="auto"/>
          <w:kern w:val="0"/>
          <w:sz w:val="21"/>
          <w:szCs w:val="21"/>
          <w:highlight w:val="none"/>
          <w:lang w:val="en-US" w:eastAsia="zh-CN" w:bidi="ar-SA"/>
        </w:rPr>
        <w:t>平方公里，行政村</w:t>
      </w:r>
      <w:r>
        <w:rPr>
          <w:rFonts w:hint="eastAsia" w:ascii="Times New Roman" w:hAnsi="Times New Roman" w:eastAsia="宋体" w:cs="Times New Roman"/>
          <w:color w:val="auto"/>
          <w:kern w:val="0"/>
          <w:sz w:val="21"/>
          <w:szCs w:val="21"/>
          <w:highlight w:val="none"/>
          <w:lang w:val="en-US" w:eastAsia="zh-CN" w:bidi="ar-SA"/>
        </w:rPr>
        <w:t>12</w:t>
      </w:r>
      <w:r>
        <w:rPr>
          <w:rFonts w:hint="default" w:ascii="Times New Roman" w:hAnsi="Times New Roman" w:eastAsia="宋体" w:cs="Times New Roman"/>
          <w:color w:val="auto"/>
          <w:kern w:val="0"/>
          <w:sz w:val="21"/>
          <w:szCs w:val="21"/>
          <w:highlight w:val="none"/>
          <w:lang w:val="en-US" w:eastAsia="zh-CN" w:bidi="ar-SA"/>
        </w:rPr>
        <w:t>个（</w:t>
      </w:r>
      <w:r>
        <w:rPr>
          <w:rFonts w:hint="eastAsia" w:ascii="Times New Roman" w:hAnsi="Times New Roman" w:eastAsia="宋体" w:cs="Times New Roman"/>
          <w:color w:val="auto"/>
          <w:kern w:val="0"/>
          <w:sz w:val="21"/>
          <w:szCs w:val="21"/>
          <w:highlight w:val="none"/>
          <w:lang w:val="en-US" w:eastAsia="zh-CN" w:bidi="ar-SA"/>
        </w:rPr>
        <w:t>6000</w:t>
      </w:r>
      <w:r>
        <w:rPr>
          <w:rFonts w:hint="default" w:ascii="Times New Roman" w:hAnsi="Times New Roman" w:eastAsia="宋体" w:cs="Times New Roman"/>
          <w:color w:val="auto"/>
          <w:kern w:val="0"/>
          <w:sz w:val="21"/>
          <w:szCs w:val="21"/>
          <w:highlight w:val="none"/>
          <w:lang w:val="en-US" w:eastAsia="zh-CN" w:bidi="ar-SA"/>
        </w:rPr>
        <w:t>户），</w:t>
      </w:r>
      <w:r>
        <w:rPr>
          <w:rFonts w:hint="eastAsia" w:ascii="Times New Roman" w:hAnsi="Times New Roman" w:eastAsia="宋体" w:cs="Times New Roman"/>
          <w:color w:val="auto"/>
          <w:kern w:val="0"/>
          <w:sz w:val="21"/>
          <w:szCs w:val="21"/>
          <w:highlight w:val="none"/>
          <w:lang w:val="en-US" w:eastAsia="zh-CN" w:bidi="ar-SA"/>
        </w:rPr>
        <w:t>公园5座、</w:t>
      </w:r>
      <w:r>
        <w:rPr>
          <w:rFonts w:hint="default" w:ascii="Times New Roman" w:hAnsi="Times New Roman" w:eastAsia="宋体" w:cs="Times New Roman"/>
          <w:color w:val="auto"/>
          <w:kern w:val="0"/>
          <w:sz w:val="21"/>
          <w:szCs w:val="21"/>
          <w:highlight w:val="none"/>
          <w:lang w:val="en-US" w:eastAsia="zh-CN" w:bidi="ar-SA"/>
        </w:rPr>
        <w:t>公</w:t>
      </w:r>
      <w:r>
        <w:rPr>
          <w:rFonts w:hint="eastAsia" w:ascii="Times New Roman" w:hAnsi="Times New Roman" w:eastAsia="宋体" w:cs="Times New Roman"/>
          <w:color w:val="auto"/>
          <w:kern w:val="0"/>
          <w:sz w:val="21"/>
          <w:szCs w:val="21"/>
          <w:highlight w:val="none"/>
          <w:lang w:val="en-US" w:eastAsia="zh-CN" w:bidi="ar-SA"/>
        </w:rPr>
        <w:t>厕42</w:t>
      </w:r>
      <w:r>
        <w:rPr>
          <w:rFonts w:hint="default" w:ascii="Times New Roman" w:hAnsi="Times New Roman" w:eastAsia="宋体" w:cs="Times New Roman"/>
          <w:color w:val="auto"/>
          <w:kern w:val="0"/>
          <w:sz w:val="21"/>
          <w:szCs w:val="21"/>
          <w:highlight w:val="none"/>
          <w:lang w:val="en-US" w:eastAsia="zh-CN" w:bidi="ar-SA"/>
        </w:rPr>
        <w:t>座</w:t>
      </w:r>
      <w:r>
        <w:rPr>
          <w:rFonts w:hint="eastAsia" w:ascii="Times New Roman" w:hAnsi="Times New Roman" w:eastAsia="宋体" w:cs="Times New Roman"/>
          <w:color w:val="auto"/>
          <w:kern w:val="0"/>
          <w:sz w:val="21"/>
          <w:szCs w:val="21"/>
          <w:highlight w:val="none"/>
          <w:lang w:val="en-US" w:eastAsia="zh-CN" w:bidi="ar-SA"/>
        </w:rPr>
        <w:t>、</w:t>
      </w:r>
      <w:r>
        <w:rPr>
          <w:rFonts w:hint="default" w:ascii="Times New Roman" w:hAnsi="Times New Roman" w:eastAsia="宋体" w:cs="Times New Roman"/>
          <w:color w:val="auto"/>
          <w:kern w:val="0"/>
          <w:sz w:val="21"/>
          <w:szCs w:val="21"/>
          <w:highlight w:val="none"/>
          <w:lang w:val="en-US" w:eastAsia="zh-CN" w:bidi="ar-SA"/>
        </w:rPr>
        <w:t>店面</w:t>
      </w:r>
      <w:r>
        <w:rPr>
          <w:rFonts w:hint="eastAsia" w:ascii="Times New Roman" w:hAnsi="Times New Roman" w:eastAsia="宋体" w:cs="Times New Roman"/>
          <w:color w:val="auto"/>
          <w:kern w:val="0"/>
          <w:sz w:val="21"/>
          <w:szCs w:val="21"/>
          <w:highlight w:val="none"/>
          <w:lang w:val="en-US" w:eastAsia="zh-CN" w:bidi="ar-SA"/>
        </w:rPr>
        <w:t>580余家</w:t>
      </w:r>
      <w:r>
        <w:rPr>
          <w:rFonts w:hint="default" w:ascii="Times New Roman" w:hAnsi="Times New Roman" w:eastAsia="宋体" w:cs="Times New Roman"/>
          <w:color w:val="auto"/>
          <w:kern w:val="0"/>
          <w:sz w:val="21"/>
          <w:szCs w:val="21"/>
          <w:highlight w:val="none"/>
          <w:lang w:val="en-US" w:eastAsia="zh-CN" w:bidi="ar-SA"/>
        </w:rPr>
        <w:t>、学校</w:t>
      </w:r>
      <w:r>
        <w:rPr>
          <w:rFonts w:hint="eastAsia" w:ascii="Times New Roman" w:hAnsi="Times New Roman" w:eastAsia="宋体" w:cs="Times New Roman"/>
          <w:color w:val="auto"/>
          <w:kern w:val="0"/>
          <w:sz w:val="21"/>
          <w:szCs w:val="21"/>
          <w:highlight w:val="none"/>
          <w:lang w:val="en-US" w:eastAsia="zh-CN" w:bidi="ar-SA"/>
        </w:rPr>
        <w:t>4</w:t>
      </w:r>
      <w:r>
        <w:rPr>
          <w:rFonts w:hint="default" w:ascii="Times New Roman" w:hAnsi="Times New Roman" w:eastAsia="宋体" w:cs="Times New Roman"/>
          <w:color w:val="auto"/>
          <w:kern w:val="0"/>
          <w:sz w:val="21"/>
          <w:szCs w:val="21"/>
          <w:highlight w:val="none"/>
          <w:lang w:val="en-US" w:eastAsia="zh-CN" w:bidi="ar-SA"/>
        </w:rPr>
        <w:t>所、拉圾中转站</w:t>
      </w:r>
      <w:r>
        <w:rPr>
          <w:rFonts w:hint="eastAsia" w:ascii="Times New Roman" w:hAnsi="Times New Roman" w:eastAsia="宋体" w:cs="Times New Roman"/>
          <w:color w:val="auto"/>
          <w:kern w:val="0"/>
          <w:sz w:val="21"/>
          <w:szCs w:val="21"/>
          <w:highlight w:val="none"/>
          <w:lang w:val="en-US" w:eastAsia="zh-CN" w:bidi="ar-SA"/>
        </w:rPr>
        <w:t>1</w:t>
      </w:r>
      <w:r>
        <w:rPr>
          <w:rFonts w:hint="default" w:ascii="Times New Roman" w:hAnsi="Times New Roman" w:eastAsia="宋体" w:cs="Times New Roman"/>
          <w:color w:val="auto"/>
          <w:kern w:val="0"/>
          <w:sz w:val="21"/>
          <w:szCs w:val="21"/>
          <w:highlight w:val="none"/>
          <w:lang w:val="en-US" w:eastAsia="zh-CN" w:bidi="ar-SA"/>
        </w:rPr>
        <w:t>个、菜场</w:t>
      </w:r>
      <w:r>
        <w:rPr>
          <w:rFonts w:hint="eastAsia" w:ascii="Times New Roman" w:hAnsi="Times New Roman" w:eastAsia="宋体" w:cs="Times New Roman"/>
          <w:color w:val="auto"/>
          <w:kern w:val="0"/>
          <w:sz w:val="21"/>
          <w:szCs w:val="21"/>
          <w:highlight w:val="none"/>
          <w:lang w:val="en-US" w:eastAsia="zh-CN" w:bidi="ar-SA"/>
        </w:rPr>
        <w:t>3</w:t>
      </w:r>
      <w:r>
        <w:rPr>
          <w:rFonts w:hint="default" w:ascii="Times New Roman" w:hAnsi="Times New Roman" w:eastAsia="宋体" w:cs="Times New Roman"/>
          <w:color w:val="auto"/>
          <w:kern w:val="0"/>
          <w:sz w:val="21"/>
          <w:szCs w:val="21"/>
          <w:highlight w:val="none"/>
          <w:lang w:val="en-US" w:eastAsia="zh-CN" w:bidi="ar-SA"/>
        </w:rPr>
        <w:t>个、车站1个、</w:t>
      </w:r>
      <w:r>
        <w:rPr>
          <w:rFonts w:hint="eastAsia" w:ascii="Times New Roman" w:hAnsi="Times New Roman" w:eastAsia="宋体" w:cs="Times New Roman"/>
          <w:color w:val="auto"/>
          <w:kern w:val="0"/>
          <w:sz w:val="21"/>
          <w:szCs w:val="21"/>
          <w:highlight w:val="none"/>
          <w:lang w:val="en-US" w:eastAsia="zh-CN" w:bidi="ar-SA"/>
        </w:rPr>
        <w:t>健康步道3条、雨污水窨井1800座</w:t>
      </w:r>
      <w:r>
        <w:rPr>
          <w:rFonts w:hint="default" w:ascii="Times New Roman" w:hAnsi="Times New Roman" w:eastAsia="宋体"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毒</w:t>
      </w:r>
      <w:r>
        <w:rPr>
          <w:rFonts w:hint="default" w:ascii="Times New Roman" w:hAnsi="Times New Roman" w:eastAsia="宋体" w:cs="Times New Roman"/>
          <w:color w:val="auto"/>
          <w:kern w:val="0"/>
          <w:sz w:val="21"/>
          <w:szCs w:val="21"/>
          <w:highlight w:val="none"/>
          <w:lang w:val="en-US" w:eastAsia="zh-CN" w:bidi="ar-SA"/>
        </w:rPr>
        <w:t>饵站</w:t>
      </w:r>
      <w:r>
        <w:rPr>
          <w:rFonts w:hint="eastAsia" w:ascii="Times New Roman" w:hAnsi="Times New Roman" w:eastAsia="宋体" w:cs="Times New Roman"/>
          <w:color w:val="auto"/>
          <w:kern w:val="0"/>
          <w:sz w:val="21"/>
          <w:szCs w:val="21"/>
          <w:highlight w:val="none"/>
          <w:lang w:val="en-US" w:eastAsia="zh-CN" w:bidi="ar-SA"/>
        </w:rPr>
        <w:t>600</w:t>
      </w:r>
      <w:r>
        <w:rPr>
          <w:rFonts w:hint="default" w:ascii="Times New Roman" w:hAnsi="Times New Roman" w:eastAsia="宋体" w:cs="Times New Roman"/>
          <w:color w:val="auto"/>
          <w:kern w:val="0"/>
          <w:sz w:val="21"/>
          <w:szCs w:val="21"/>
          <w:highlight w:val="none"/>
          <w:lang w:val="en-US" w:eastAsia="zh-CN" w:bidi="ar-SA"/>
        </w:rPr>
        <w:t>只、河岩大型水体</w:t>
      </w:r>
      <w:r>
        <w:rPr>
          <w:rFonts w:hint="eastAsia" w:ascii="Times New Roman" w:hAnsi="Times New Roman" w:eastAsia="宋体" w:cs="Times New Roman"/>
          <w:color w:val="auto"/>
          <w:kern w:val="0"/>
          <w:sz w:val="21"/>
          <w:szCs w:val="21"/>
          <w:highlight w:val="none"/>
          <w:lang w:val="en-US" w:eastAsia="zh-CN" w:bidi="ar-SA"/>
        </w:rPr>
        <w:t>15公里</w:t>
      </w:r>
      <w:r>
        <w:rPr>
          <w:rFonts w:hint="default" w:ascii="Times New Roman" w:hAnsi="Times New Roman" w:eastAsia="宋体" w:cs="Times New Roman"/>
          <w:color w:val="auto"/>
          <w:kern w:val="0"/>
          <w:sz w:val="21"/>
          <w:szCs w:val="21"/>
          <w:highlight w:val="none"/>
          <w:lang w:val="en-US" w:eastAsia="zh-CN" w:bidi="ar-SA"/>
        </w:rPr>
        <w:t>、绿化</w:t>
      </w:r>
      <w:r>
        <w:rPr>
          <w:rFonts w:hint="eastAsia" w:ascii="Times New Roman" w:hAnsi="Times New Roman" w:eastAsia="宋体" w:cs="Times New Roman"/>
          <w:color w:val="auto"/>
          <w:kern w:val="0"/>
          <w:sz w:val="21"/>
          <w:szCs w:val="21"/>
          <w:highlight w:val="none"/>
          <w:lang w:val="en-US" w:eastAsia="zh-CN" w:bidi="ar-SA"/>
        </w:rPr>
        <w:t>7.48平方公里</w:t>
      </w:r>
      <w:r>
        <w:rPr>
          <w:rFonts w:hint="default" w:ascii="Times New Roman" w:hAnsi="Times New Roman" w:eastAsia="宋体" w:cs="Times New Roman"/>
          <w:color w:val="auto"/>
          <w:kern w:val="0"/>
          <w:sz w:val="21"/>
          <w:szCs w:val="21"/>
          <w:highlight w:val="none"/>
          <w:lang w:val="en-US" w:eastAsia="zh-CN" w:bidi="ar-SA"/>
        </w:rPr>
        <w:t>、</w:t>
      </w:r>
      <w:r>
        <w:rPr>
          <w:rFonts w:hint="eastAsia" w:ascii="Times New Roman" w:hAnsi="Times New Roman" w:eastAsia="宋体" w:cs="Times New Roman"/>
          <w:color w:val="auto"/>
          <w:kern w:val="0"/>
          <w:sz w:val="21"/>
          <w:szCs w:val="21"/>
          <w:highlight w:val="none"/>
          <w:lang w:val="en-US" w:eastAsia="zh-CN" w:bidi="ar-SA"/>
        </w:rPr>
        <w:t>垃圾</w:t>
      </w:r>
      <w:r>
        <w:rPr>
          <w:rFonts w:hint="default" w:ascii="Times New Roman" w:hAnsi="Times New Roman" w:eastAsia="宋体" w:cs="Times New Roman"/>
          <w:color w:val="auto"/>
          <w:kern w:val="0"/>
          <w:sz w:val="21"/>
          <w:szCs w:val="21"/>
          <w:highlight w:val="none"/>
          <w:lang w:val="en-US" w:eastAsia="zh-CN" w:bidi="ar-SA"/>
        </w:rPr>
        <w:t>桶</w:t>
      </w:r>
      <w:r>
        <w:rPr>
          <w:rFonts w:hint="eastAsia" w:ascii="Times New Roman" w:hAnsi="Times New Roman" w:eastAsia="宋体" w:cs="Times New Roman"/>
          <w:color w:val="auto"/>
          <w:kern w:val="0"/>
          <w:sz w:val="21"/>
          <w:szCs w:val="21"/>
          <w:highlight w:val="none"/>
          <w:lang w:val="en-US" w:eastAsia="zh-CN" w:bidi="ar-SA"/>
        </w:rPr>
        <w:t>1300</w:t>
      </w:r>
      <w:r>
        <w:rPr>
          <w:rFonts w:hint="default" w:ascii="Times New Roman" w:hAnsi="Times New Roman" w:eastAsia="宋体" w:cs="Times New Roman"/>
          <w:color w:val="auto"/>
          <w:kern w:val="0"/>
          <w:sz w:val="21"/>
          <w:szCs w:val="21"/>
          <w:highlight w:val="none"/>
          <w:lang w:val="en-US" w:eastAsia="zh-CN" w:bidi="ar-SA"/>
        </w:rPr>
        <w:t>只</w:t>
      </w:r>
      <w:r>
        <w:rPr>
          <w:rFonts w:hint="eastAsia" w:ascii="Times New Roman" w:hAnsi="Times New Roman" w:eastAsia="宋体" w:cs="Times New Roman"/>
          <w:color w:val="auto"/>
          <w:kern w:val="0"/>
          <w:sz w:val="21"/>
          <w:szCs w:val="21"/>
          <w:highlight w:val="none"/>
          <w:lang w:val="en-US" w:eastAsia="zh-CN" w:bidi="ar-SA"/>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2、按创建</w:t>
      </w:r>
      <w:r>
        <w:rPr>
          <w:rFonts w:hint="eastAsia" w:ascii="Times New Roman" w:hAnsi="Times New Roman" w:cs="Times New Roman"/>
          <w:color w:val="auto"/>
          <w:kern w:val="0"/>
          <w:szCs w:val="21"/>
          <w:highlight w:val="none"/>
          <w:lang w:eastAsia="zh-CN"/>
        </w:rPr>
        <w:t>国家</w:t>
      </w:r>
      <w:r>
        <w:rPr>
          <w:rFonts w:hint="default" w:ascii="Times New Roman" w:hAnsi="Times New Roman" w:cs="Times New Roman"/>
          <w:color w:val="auto"/>
          <w:kern w:val="0"/>
          <w:szCs w:val="21"/>
          <w:highlight w:val="none"/>
        </w:rPr>
        <w:t>卫生镇要求，全部统一开展公共外环境投药及消杀。全年共消18次。（如因实际需要业主要求增加消杀次数，承包人必须无条件配合，费用由承包人在报价时综合考虑风险，已含在合同价内，不在另行增加费用）</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21"/>
          <w:sz w:val="21"/>
          <w:szCs w:val="21"/>
          <w:highlight w:val="none"/>
          <w:lang w:eastAsia="zh-CN"/>
        </w:rPr>
        <w:t>辖</w:t>
      </w:r>
      <w:r>
        <w:rPr>
          <w:rFonts w:hint="default" w:ascii="Times New Roman" w:hAnsi="Times New Roman" w:cs="Times New Roman"/>
          <w:color w:val="auto"/>
          <w:kern w:val="21"/>
          <w:sz w:val="21"/>
          <w:szCs w:val="21"/>
          <w:highlight w:val="none"/>
        </w:rPr>
        <w:t>区内行政村</w:t>
      </w:r>
      <w:r>
        <w:rPr>
          <w:rFonts w:hint="eastAsia" w:ascii="Times New Roman" w:hAnsi="Times New Roman" w:cs="Times New Roman"/>
          <w:color w:val="auto"/>
          <w:kern w:val="21"/>
          <w:sz w:val="21"/>
          <w:szCs w:val="21"/>
          <w:highlight w:val="none"/>
          <w:lang w:val="en-US" w:eastAsia="zh-CN"/>
        </w:rPr>
        <w:t>12</w:t>
      </w:r>
      <w:r>
        <w:rPr>
          <w:rFonts w:hint="default" w:ascii="Times New Roman" w:hAnsi="Times New Roman" w:cs="Times New Roman"/>
          <w:color w:val="auto"/>
          <w:kern w:val="21"/>
          <w:sz w:val="21"/>
          <w:szCs w:val="21"/>
          <w:highlight w:val="none"/>
        </w:rPr>
        <w:t>个（</w:t>
      </w:r>
      <w:r>
        <w:rPr>
          <w:rFonts w:hint="eastAsia" w:ascii="Times New Roman" w:hAnsi="Times New Roman" w:cs="Times New Roman"/>
          <w:color w:val="auto"/>
          <w:kern w:val="21"/>
          <w:sz w:val="21"/>
          <w:szCs w:val="21"/>
          <w:highlight w:val="none"/>
          <w:lang w:val="en-US" w:eastAsia="zh-CN"/>
        </w:rPr>
        <w:t>6000</w:t>
      </w:r>
      <w:r>
        <w:rPr>
          <w:rFonts w:hint="default" w:ascii="Times New Roman" w:hAnsi="Times New Roman" w:cs="Times New Roman"/>
          <w:color w:val="auto"/>
          <w:kern w:val="21"/>
          <w:sz w:val="21"/>
          <w:szCs w:val="21"/>
          <w:highlight w:val="none"/>
        </w:rPr>
        <w:t>户）居民进行药物集中发放，并由</w:t>
      </w:r>
      <w:r>
        <w:rPr>
          <w:rFonts w:hint="eastAsia" w:ascii="Times New Roman" w:hAnsi="Times New Roman" w:cs="Times New Roman"/>
          <w:color w:val="auto"/>
          <w:kern w:val="21"/>
          <w:sz w:val="21"/>
          <w:szCs w:val="21"/>
          <w:highlight w:val="none"/>
          <w:lang w:eastAsia="zh-CN"/>
        </w:rPr>
        <w:t>乙方</w:t>
      </w:r>
      <w:r>
        <w:rPr>
          <w:rFonts w:hint="default" w:ascii="Times New Roman" w:hAnsi="Times New Roman" w:cs="Times New Roman"/>
          <w:color w:val="auto"/>
          <w:kern w:val="21"/>
          <w:sz w:val="21"/>
          <w:szCs w:val="21"/>
          <w:highlight w:val="none"/>
        </w:rPr>
        <w:t>做好药物投放的指导工作。</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二</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委托承包工作标准</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按照</w:t>
      </w:r>
      <w:r>
        <w:rPr>
          <w:rFonts w:hint="default" w:ascii="Times New Roman" w:hAnsi="Times New Roman" w:cs="Times New Roman"/>
          <w:color w:val="auto"/>
          <w:kern w:val="0"/>
          <w:szCs w:val="21"/>
          <w:highlight w:val="none"/>
        </w:rPr>
        <w:t>《国家卫生城市标准（2014版）》、全国爱卫会《病媒生物预防控制管理规定》、中华人民共和国国家标准《病媒生物综合管理技术规范城镇（GB/T27775-2011）》、《病媒生物密度监测方法》（GB/T23795-23798）》、《病媒生物密度控制水平（GB/T27770-27773）》等标准规范要求。</w:t>
      </w:r>
    </w:p>
    <w:p>
      <w:pPr>
        <w:widowControl/>
        <w:adjustRightInd w:val="0"/>
        <w:snapToGrid w:val="0"/>
        <w:spacing w:line="38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芦浦镇区域内基本无蚊、蝇、蟑螂、鼠活动，其密度达到国家对特殊行业的卫生检查标准以内。</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3.</w:t>
      </w:r>
      <w:r>
        <w:rPr>
          <w:rFonts w:hint="eastAsia" w:ascii="Times New Roman" w:hAnsi="Times New Roman" w:cs="Times New Roman"/>
          <w:color w:val="auto"/>
          <w:kern w:val="0"/>
          <w:szCs w:val="21"/>
          <w:highlight w:val="none"/>
          <w:lang w:eastAsia="zh-CN"/>
        </w:rPr>
        <w:t>蚊蝇密度达到国家标准</w:t>
      </w:r>
      <w:r>
        <w:rPr>
          <w:rFonts w:hint="eastAsia" w:ascii="Times New Roman" w:hAnsi="Times New Roman" w:cs="Times New Roman"/>
          <w:color w:val="auto"/>
          <w:kern w:val="0"/>
          <w:szCs w:val="21"/>
          <w:highlight w:val="none"/>
          <w:lang w:val="en-US" w:eastAsia="zh-CN"/>
        </w:rPr>
        <w:t>C级要求</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4.</w:t>
      </w:r>
      <w:r>
        <w:rPr>
          <w:rFonts w:hint="eastAsia" w:ascii="Times New Roman" w:hAnsi="Times New Roman" w:cs="Times New Roman"/>
          <w:color w:val="auto"/>
          <w:kern w:val="0"/>
          <w:szCs w:val="21"/>
          <w:highlight w:val="none"/>
          <w:lang w:eastAsia="zh-CN"/>
        </w:rPr>
        <w:t>药物发放标准（辖区内约</w:t>
      </w:r>
      <w:r>
        <w:rPr>
          <w:rFonts w:hint="eastAsia" w:ascii="Times New Roman" w:hAnsi="Times New Roman" w:cs="Times New Roman"/>
          <w:color w:val="auto"/>
          <w:kern w:val="0"/>
          <w:szCs w:val="21"/>
          <w:highlight w:val="none"/>
          <w:lang w:val="en-US" w:eastAsia="zh-CN"/>
        </w:rPr>
        <w:t>6000户</w:t>
      </w:r>
      <w:r>
        <w:rPr>
          <w:rFonts w:hint="eastAsia" w:ascii="Times New Roman" w:hAnsi="Times New Roman" w:cs="Times New Roman"/>
          <w:color w:val="auto"/>
          <w:kern w:val="0"/>
          <w:szCs w:val="21"/>
          <w:highlight w:val="none"/>
          <w:lang w:eastAsia="zh-CN"/>
        </w:rPr>
        <w:t>）灭鼠药：需要</w:t>
      </w:r>
      <w:r>
        <w:rPr>
          <w:rFonts w:hint="eastAsia" w:ascii="Times New Roman" w:hAnsi="Times New Roman" w:cs="Times New Roman"/>
          <w:color w:val="auto"/>
          <w:kern w:val="0"/>
          <w:szCs w:val="21"/>
          <w:highlight w:val="none"/>
          <w:lang w:val="en-US" w:eastAsia="zh-CN"/>
        </w:rPr>
        <w:t>0.005%溴鼠灵每户100克（2包）；灭蟑药：需1%乙酰甲胺磷饵粒每户2包，集中在镇统一发放，并由乙方做好药物投放的指导工作</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5.</w:t>
      </w:r>
      <w:r>
        <w:rPr>
          <w:rFonts w:hint="eastAsia" w:ascii="Times New Roman" w:hAnsi="Times New Roman" w:cs="Times New Roman"/>
          <w:color w:val="auto"/>
          <w:kern w:val="0"/>
          <w:szCs w:val="21"/>
          <w:highlight w:val="none"/>
          <w:lang w:eastAsia="zh-CN"/>
        </w:rPr>
        <w:t>消杀效果评估：根据《国家卫生城市标准》，《关于病媒生物预防控制效果现场评估的指导意见》浙爱卫（</w:t>
      </w:r>
      <w:r>
        <w:rPr>
          <w:rFonts w:hint="eastAsia" w:ascii="Times New Roman" w:hAnsi="Times New Roman" w:cs="Times New Roman"/>
          <w:color w:val="auto"/>
          <w:kern w:val="0"/>
          <w:szCs w:val="21"/>
          <w:highlight w:val="none"/>
          <w:lang w:val="en-US" w:eastAsia="zh-CN"/>
        </w:rPr>
        <w:t>2014</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4号文件及玉环爱卫办指定的督查考核办法等相关规定</w:t>
      </w:r>
      <w:r>
        <w:rPr>
          <w:rFonts w:hint="default" w:ascii="Times New Roman" w:hAnsi="Times New Roman" w:cs="Times New Roman"/>
          <w:color w:val="auto"/>
          <w:kern w:val="0"/>
          <w:szCs w:val="21"/>
          <w:highlight w:val="none"/>
        </w:rPr>
        <w:t>。</w:t>
      </w:r>
    </w:p>
    <w:p>
      <w:pPr>
        <w:widowControl/>
        <w:adjustRightInd w:val="0"/>
        <w:snapToGrid w:val="0"/>
        <w:spacing w:line="38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三</w:t>
      </w:r>
      <w:r>
        <w:rPr>
          <w:rFonts w:hint="default" w:ascii="Times New Roman" w:hAnsi="Times New Roman" w:cs="Times New Roman"/>
          <w:color w:val="auto"/>
          <w:kern w:val="0"/>
          <w:szCs w:val="21"/>
          <w:highlight w:val="none"/>
        </w:rPr>
        <w:t>、服务期限：</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2020年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日至2021年</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月</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日</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四</w:t>
      </w:r>
      <w:r>
        <w:rPr>
          <w:rFonts w:hint="default" w:ascii="Times New Roman" w:hAnsi="Times New Roman" w:cs="Times New Roman"/>
          <w:color w:val="auto"/>
          <w:kern w:val="0"/>
          <w:szCs w:val="21"/>
          <w:highlight w:val="none"/>
        </w:rPr>
        <w:t>、服务承包费及支付</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服务承包费总计</w:t>
      </w:r>
      <w:r>
        <w:rPr>
          <w:rFonts w:hint="eastAsia" w:ascii="Times New Roman" w:hAnsi="Times New Roman" w:cs="Times New Roman"/>
          <w:color w:val="auto"/>
          <w:kern w:val="0"/>
          <w:szCs w:val="21"/>
          <w:highlight w:val="none"/>
          <w:lang w:eastAsia="zh-CN"/>
        </w:rPr>
        <w:t>人民币</w:t>
      </w:r>
      <w:r>
        <w:rPr>
          <w:rFonts w:hint="eastAsia" w:ascii="Times New Roman" w:hAnsi="Times New Roman" w:cs="Times New Roman"/>
          <w:color w:val="auto"/>
          <w:kern w:val="0"/>
          <w:szCs w:val="21"/>
          <w:highlight w:val="none"/>
          <w:u w:val="single"/>
          <w:lang w:val="en-US" w:eastAsia="zh-CN"/>
        </w:rPr>
        <w:t xml:space="preserve">             </w:t>
      </w:r>
      <w:r>
        <w:rPr>
          <w:rFonts w:hint="eastAsia" w:ascii="Times New Roman" w:hAnsi="Times New Roman" w:cs="Times New Roman"/>
          <w:color w:val="auto"/>
          <w:kern w:val="0"/>
          <w:szCs w:val="21"/>
          <w:highlight w:val="none"/>
          <w:u w:val="none"/>
          <w:lang w:val="en-US" w:eastAsia="zh-CN"/>
        </w:rPr>
        <w:t>（￥          ，含税）包括药物、器械等材料费、检测费、人工费、运输费等一切费用</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付款方式：按协议要求，药物到位后预付</w:t>
      </w:r>
      <w:r>
        <w:rPr>
          <w:rFonts w:hint="eastAsia" w:ascii="Times New Roman" w:hAnsi="Times New Roman" w:cs="Times New Roman"/>
          <w:color w:val="auto"/>
          <w:kern w:val="0"/>
          <w:szCs w:val="21"/>
          <w:highlight w:val="none"/>
          <w:lang w:val="en-US" w:eastAsia="zh-CN"/>
        </w:rPr>
        <w:t>50%的合同价款，工程全部工作完成后经甲方验收合格后，予以一次性全额付清，并同时退换履约担保金额1万元</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color w:val="auto"/>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服务期内</w:t>
      </w:r>
      <w:r>
        <w:rPr>
          <w:rFonts w:hint="default" w:ascii="Times New Roman" w:hAnsi="Times New Roman" w:cs="Times New Roman"/>
          <w:color w:val="auto"/>
          <w:kern w:val="0"/>
          <w:szCs w:val="21"/>
          <w:highlight w:val="none"/>
        </w:rPr>
        <w:t>全年共消18次</w:t>
      </w:r>
      <w:r>
        <w:rPr>
          <w:rFonts w:hint="eastAsia" w:ascii="Times New Roman" w:hAnsi="Times New Roman" w:cs="Times New Roman"/>
          <w:color w:val="auto"/>
          <w:kern w:val="0"/>
          <w:szCs w:val="21"/>
          <w:highlight w:val="none"/>
          <w:lang w:eastAsia="zh-CN"/>
        </w:rPr>
        <w:t>，若未通过甲方考核的，合同价款扣除服务承包费</w:t>
      </w:r>
      <w:r>
        <w:rPr>
          <w:rFonts w:hint="eastAsia" w:ascii="Times New Roman" w:hAnsi="Times New Roman" w:cs="Times New Roman"/>
          <w:color w:val="auto"/>
          <w:kern w:val="0"/>
          <w:szCs w:val="21"/>
          <w:highlight w:val="none"/>
          <w:lang w:val="en-US" w:eastAsia="zh-CN"/>
        </w:rPr>
        <w:t>5%/次。</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五、甲方</w:t>
      </w:r>
      <w:r>
        <w:rPr>
          <w:rFonts w:hint="eastAsia" w:ascii="Times New Roman" w:hAnsi="Times New Roman"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积极做好垃圾管理，做好居民住宅、小区及住宅户、单位、饭店、市场、车站及五小行业等配合乙方工作</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w:t>
      </w:r>
      <w:r>
        <w:rPr>
          <w:rFonts w:hint="eastAsia" w:ascii="Times New Roman" w:hAnsi="Times New Roman" w:cs="Times New Roman"/>
          <w:color w:val="auto"/>
          <w:kern w:val="0"/>
          <w:szCs w:val="21"/>
          <w:highlight w:val="none"/>
          <w:lang w:eastAsia="zh-CN"/>
        </w:rPr>
        <w:t>组织开展经常的除四害宣传教育工作，组织辖区内单位和居民开展病媒生物防止活动，消除四害孽生地</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3、负责对乙方的服务质量进行定期检查考核。</w:t>
      </w:r>
    </w:p>
    <w:p>
      <w:pPr>
        <w:widowControl/>
        <w:adjustRightInd w:val="0"/>
        <w:snapToGrid w:val="0"/>
        <w:spacing w:line="520" w:lineRule="exact"/>
        <w:ind w:firstLine="420" w:firstLineChars="200"/>
        <w:jc w:val="left"/>
        <w:rPr>
          <w:rFonts w:hint="eastAsia" w:ascii="Times New Roman" w:hAnsi="Times New Roman" w:eastAsia="宋体"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六</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乙</w:t>
      </w:r>
      <w:r>
        <w:rPr>
          <w:rFonts w:hint="default" w:ascii="Times New Roman" w:hAnsi="Times New Roman" w:cs="Times New Roman"/>
          <w:color w:val="auto"/>
          <w:kern w:val="0"/>
          <w:szCs w:val="21"/>
          <w:highlight w:val="none"/>
        </w:rPr>
        <w:t>方</w:t>
      </w:r>
      <w:r>
        <w:rPr>
          <w:rFonts w:hint="eastAsia" w:ascii="Times New Roman" w:hAnsi="Times New Roman" w:cs="Times New Roman"/>
          <w:color w:val="auto"/>
          <w:kern w:val="0"/>
          <w:szCs w:val="21"/>
          <w:highlight w:val="none"/>
          <w:lang w:eastAsia="zh-CN"/>
        </w:rPr>
        <w:t>责任</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要求在协议期内，“病媒生物防”工作要全面、彻底，符合验收标准，工作态度要认真负责，要有责任感，同时要好监测及监测报告，在“病媒生物防制”过程中要保管好相关书面资料（包括数据，图表，照片等），协议期满后，所有资料将必须及时完整地上交给甲方留档。</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2．药物与器械采购、运输、投放、操作等及人工的使用均由乙方具体负责</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药物和器械的使用过程中，必须对相关人员和单位做好宣传和告知说明，确保对人体无安全隐患和人为损害</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4、在整个工作过程中，必须确保各类安全，否则发生一切有关安全事故均由乙方负责，与甲方无关。</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5、确保在服务年度内，芦浦镇通过国家级卫生城镇评审规定的考核标准。鼠、蚊、蝇、蟑螂等病媒生物得到有效控制。</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val="en-US" w:eastAsia="zh-CN"/>
        </w:rPr>
      </w:pPr>
    </w:p>
    <w:p>
      <w:pPr>
        <w:pStyle w:val="2"/>
        <w:rPr>
          <w:rFonts w:hint="eastAsia"/>
          <w:color w:val="auto"/>
          <w:highlight w:val="none"/>
          <w:lang w:val="en-US" w:eastAsia="zh-CN"/>
        </w:rPr>
      </w:pPr>
    </w:p>
    <w:p>
      <w:pPr>
        <w:widowControl/>
        <w:numPr>
          <w:ilvl w:val="0"/>
          <w:numId w:val="5"/>
        </w:numPr>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eastAsia" w:ascii="Times New Roman" w:hAnsi="Times New Roman" w:cs="Times New Roman"/>
          <w:color w:val="auto"/>
          <w:kern w:val="0"/>
          <w:szCs w:val="21"/>
          <w:highlight w:val="none"/>
          <w:lang w:eastAsia="zh-CN"/>
        </w:rPr>
        <w:t>其他</w:t>
      </w:r>
    </w:p>
    <w:p>
      <w:pPr>
        <w:widowControl/>
        <w:adjustRightInd w:val="0"/>
        <w:snapToGrid w:val="0"/>
        <w:spacing w:line="520" w:lineRule="exact"/>
        <w:ind w:firstLine="420" w:firstLineChars="200"/>
        <w:jc w:val="left"/>
        <w:rPr>
          <w:rFonts w:hint="eastAsia" w:ascii="Times New Roman" w:hAnsi="Times New Roman" w:cs="Times New Roman"/>
          <w:color w:val="auto"/>
          <w:kern w:val="0"/>
          <w:szCs w:val="21"/>
          <w:highlight w:val="none"/>
          <w:lang w:eastAsia="zh-CN"/>
        </w:rPr>
      </w:pPr>
      <w:r>
        <w:rPr>
          <w:rFonts w:hint="default" w:ascii="Times New Roman" w:hAnsi="Times New Roman" w:cs="Times New Roman"/>
          <w:color w:val="auto"/>
          <w:kern w:val="0"/>
          <w:szCs w:val="21"/>
          <w:highlight w:val="none"/>
        </w:rPr>
        <w:t>1、</w:t>
      </w:r>
      <w:r>
        <w:rPr>
          <w:rFonts w:hint="eastAsia" w:ascii="Times New Roman" w:hAnsi="Times New Roman" w:cs="Times New Roman"/>
          <w:color w:val="auto"/>
          <w:kern w:val="0"/>
          <w:szCs w:val="21"/>
          <w:highlight w:val="none"/>
          <w:lang w:eastAsia="zh-CN"/>
        </w:rPr>
        <w:t>本协议须盖章签字后才能生效。</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2．其他未尽事宜，经由双方另行共同协商</w:t>
      </w:r>
      <w:r>
        <w:rPr>
          <w:rFonts w:hint="default" w:ascii="Times New Roman" w:hAnsi="Times New Roman" w:cs="Times New Roman"/>
          <w:color w:val="auto"/>
          <w:kern w:val="0"/>
          <w:szCs w:val="21"/>
          <w:highlight w:val="none"/>
        </w:rPr>
        <w:t>。</w:t>
      </w: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3</w:t>
      </w:r>
      <w:r>
        <w:rPr>
          <w:rFonts w:hint="default" w:ascii="Times New Roman" w:hAnsi="Times New Roman" w:cs="Times New Roman"/>
          <w:color w:val="auto"/>
          <w:kern w:val="0"/>
          <w:szCs w:val="21"/>
          <w:highlight w:val="none"/>
        </w:rPr>
        <w:t>、</w:t>
      </w:r>
      <w:r>
        <w:rPr>
          <w:rFonts w:hint="eastAsia" w:ascii="Times New Roman" w:hAnsi="Times New Roman" w:cs="Times New Roman"/>
          <w:color w:val="auto"/>
          <w:kern w:val="0"/>
          <w:szCs w:val="21"/>
          <w:highlight w:val="none"/>
          <w:lang w:eastAsia="zh-CN"/>
        </w:rPr>
        <w:t>本协议书一式陆份，甲执贰份，乙方叁份，招标代理机构壹份</w:t>
      </w:r>
      <w:r>
        <w:rPr>
          <w:rFonts w:hint="default" w:ascii="Times New Roman" w:hAnsi="Times New Roman" w:cs="Times New Roman"/>
          <w:color w:val="auto"/>
          <w:kern w:val="0"/>
          <w:szCs w:val="21"/>
          <w:highlight w:val="none"/>
        </w:rPr>
        <w:t>。</w:t>
      </w:r>
    </w:p>
    <w:p>
      <w:pPr>
        <w:pStyle w:val="2"/>
        <w:numPr>
          <w:ilvl w:val="0"/>
          <w:numId w:val="0"/>
        </w:numPr>
        <w:rPr>
          <w:rFonts w:hint="eastAsia"/>
          <w:color w:val="auto"/>
          <w:highlight w:val="none"/>
          <w:lang w:eastAsia="zh-CN"/>
        </w:rPr>
      </w:pPr>
    </w:p>
    <w:p>
      <w:pPr>
        <w:widowControl/>
        <w:adjustRightInd w:val="0"/>
        <w:snapToGrid w:val="0"/>
        <w:spacing w:line="520" w:lineRule="exact"/>
        <w:ind w:firstLine="420" w:firstLineChars="200"/>
        <w:jc w:val="left"/>
        <w:rPr>
          <w:rFonts w:hint="default" w:ascii="Times New Roman" w:hAnsi="Times New Roman" w:cs="Times New Roman"/>
          <w:color w:val="auto"/>
          <w:kern w:val="0"/>
          <w:szCs w:val="21"/>
          <w:highlight w:val="none"/>
        </w:rPr>
      </w:pPr>
    </w:p>
    <w:p>
      <w:pPr>
        <w:tabs>
          <w:tab w:val="center" w:pos="4153"/>
        </w:tabs>
        <w:spacing w:line="460" w:lineRule="exact"/>
        <w:ind w:firstLine="200"/>
        <w:rPr>
          <w:rFonts w:hint="default" w:ascii="Times New Roman" w:hAnsi="Times New Roman" w:cs="Times New Roman"/>
          <w:color w:val="auto"/>
          <w:kern w:val="0"/>
          <w:szCs w:val="21"/>
          <w:highlight w:val="none"/>
        </w:rPr>
      </w:pPr>
    </w:p>
    <w:p>
      <w:pPr>
        <w:pStyle w:val="2"/>
        <w:rPr>
          <w:rFonts w:hint="default" w:ascii="Times New Roman" w:hAnsi="Times New Roman" w:cs="Times New Roman"/>
          <w:color w:val="auto"/>
          <w:kern w:val="0"/>
          <w:szCs w:val="21"/>
          <w:highlight w:val="none"/>
        </w:rPr>
      </w:pPr>
    </w:p>
    <w:p>
      <w:pPr>
        <w:tabs>
          <w:tab w:val="center" w:pos="4153"/>
        </w:tabs>
        <w:spacing w:line="700" w:lineRule="exact"/>
        <w:ind w:firstLine="200"/>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甲方单位（盖章）：</w:t>
      </w:r>
      <w:r>
        <w:rPr>
          <w:rFonts w:hint="default" w:ascii="Times New Roman" w:hAnsi="Times New Roman" w:cs="Times New Roman"/>
          <w:color w:val="auto"/>
          <w:kern w:val="0"/>
          <w:szCs w:val="21"/>
          <w:highlight w:val="none"/>
        </w:rPr>
        <w:tab/>
      </w:r>
      <w:r>
        <w:rPr>
          <w:rFonts w:hint="default" w:ascii="Times New Roman" w:hAnsi="Times New Roman" w:cs="Times New Roman"/>
          <w:color w:val="auto"/>
          <w:kern w:val="0"/>
          <w:szCs w:val="21"/>
          <w:highlight w:val="none"/>
        </w:rPr>
        <w:t xml:space="preserve">                         乙方单位（盖章）：</w:t>
      </w:r>
    </w:p>
    <w:p>
      <w:pPr>
        <w:tabs>
          <w:tab w:val="center" w:pos="4153"/>
        </w:tabs>
        <w:spacing w:line="700" w:lineRule="exact"/>
        <w:ind w:firstLine="200"/>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法人代表（签字）：</w:t>
      </w:r>
      <w:r>
        <w:rPr>
          <w:rFonts w:hint="default" w:ascii="Times New Roman" w:hAnsi="Times New Roman" w:cs="Times New Roman"/>
          <w:bCs/>
          <w:color w:val="auto"/>
          <w:kern w:val="0"/>
          <w:szCs w:val="21"/>
          <w:highlight w:val="none"/>
        </w:rPr>
        <w:tab/>
      </w:r>
      <w:r>
        <w:rPr>
          <w:rFonts w:hint="default" w:ascii="Times New Roman" w:hAnsi="Times New Roman" w:cs="Times New Roman"/>
          <w:bCs/>
          <w:color w:val="auto"/>
          <w:kern w:val="0"/>
          <w:szCs w:val="21"/>
          <w:highlight w:val="none"/>
        </w:rPr>
        <w:t xml:space="preserve">                         法人代表（签字）：</w:t>
      </w:r>
    </w:p>
    <w:p>
      <w:pPr>
        <w:spacing w:line="640" w:lineRule="exact"/>
        <w:ind w:firstLine="210" w:firstLineChars="100"/>
        <w:rPr>
          <w:rFonts w:hint="default" w:ascii="Times New Roman" w:hAnsi="Times New Roman" w:cs="Times New Roman"/>
          <w:color w:val="auto"/>
          <w:szCs w:val="21"/>
          <w:highlight w:val="none"/>
        </w:rPr>
        <w:sectPr>
          <w:pgSz w:w="11906" w:h="16838"/>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bCs/>
          <w:color w:val="auto"/>
          <w:kern w:val="0"/>
          <w:szCs w:val="21"/>
          <w:highlight w:val="none"/>
        </w:rPr>
        <w:t>日    期：</w:t>
      </w:r>
      <w:r>
        <w:rPr>
          <w:rFonts w:hint="default" w:ascii="Times New Roman" w:hAnsi="Times New Roman" w:cs="Times New Roman"/>
          <w:bCs/>
          <w:color w:val="auto"/>
          <w:kern w:val="0"/>
          <w:szCs w:val="21"/>
          <w:highlight w:val="none"/>
        </w:rPr>
        <w:tab/>
      </w:r>
      <w:r>
        <w:rPr>
          <w:rFonts w:hint="default" w:ascii="Times New Roman" w:hAnsi="Times New Roman" w:cs="Times New Roman"/>
          <w:bCs/>
          <w:color w:val="auto"/>
          <w:kern w:val="0"/>
          <w:szCs w:val="21"/>
          <w:highlight w:val="none"/>
        </w:rPr>
        <w:t xml:space="preserve">               </w:t>
      </w:r>
      <w:r>
        <w:rPr>
          <w:rFonts w:hint="default" w:ascii="Times New Roman" w:hAnsi="Times New Roman" w:cs="Times New Roman"/>
          <w:bCs/>
          <w:color w:val="auto"/>
          <w:kern w:val="0"/>
          <w:szCs w:val="21"/>
          <w:highlight w:val="none"/>
          <w:lang w:val="en-US" w:eastAsia="zh-CN"/>
        </w:rPr>
        <w:t xml:space="preserve">        </w:t>
      </w:r>
      <w:r>
        <w:rPr>
          <w:rFonts w:hint="default" w:ascii="Times New Roman" w:hAnsi="Times New Roman" w:cs="Times New Roman"/>
          <w:bCs/>
          <w:color w:val="auto"/>
          <w:kern w:val="0"/>
          <w:szCs w:val="21"/>
          <w:highlight w:val="none"/>
        </w:rPr>
        <w:t xml:space="preserve">      日    期：</w:t>
      </w:r>
    </w:p>
    <w:p>
      <w:pPr>
        <w:spacing w:line="360" w:lineRule="auto"/>
        <w:jc w:val="center"/>
        <w:rPr>
          <w:rFonts w:hint="default" w:ascii="Times New Roman" w:hAnsi="Times New Roman" w:cs="Times New Roman"/>
          <w:color w:val="auto"/>
          <w:sz w:val="30"/>
          <w:szCs w:val="30"/>
          <w:highlight w:val="none"/>
        </w:rPr>
      </w:pPr>
      <w:bookmarkStart w:id="348" w:name="_Toc108432323"/>
      <w:r>
        <w:rPr>
          <w:rFonts w:hint="default" w:ascii="Times New Roman" w:hAnsi="Times New Roman" w:eastAsia="黑体" w:cs="Times New Roman"/>
          <w:b/>
          <w:bCs/>
          <w:color w:val="auto"/>
          <w:kern w:val="0"/>
          <w:sz w:val="30"/>
          <w:szCs w:val="30"/>
          <w:highlight w:val="none"/>
        </w:rPr>
        <w:t>廉政责任书</w:t>
      </w:r>
      <w:bookmarkEnd w:id="348"/>
    </w:p>
    <w:p>
      <w:pPr>
        <w:rPr>
          <w:rFonts w:hint="default" w:ascii="Times New Roman" w:hAnsi="Times New Roman" w:cs="Times New Roman"/>
          <w:color w:val="auto"/>
          <w:sz w:val="24"/>
          <w:highlight w:val="none"/>
        </w:rPr>
      </w:pPr>
    </w:p>
    <w:p>
      <w:pPr>
        <w:snapToGrid w:val="0"/>
        <w:spacing w:line="400" w:lineRule="exact"/>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u w:val="single"/>
          <w:lang w:eastAsia="zh-CN"/>
        </w:rPr>
        <w:t>2020年芦浦镇创建国家卫生镇病媒生物防治项目</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项目地点：</w:t>
      </w:r>
      <w:r>
        <w:rPr>
          <w:rFonts w:hint="default" w:ascii="Times New Roman" w:hAnsi="Times New Roman" w:cs="Times New Roman"/>
          <w:color w:val="auto"/>
          <w:szCs w:val="21"/>
          <w:highlight w:val="none"/>
          <w:u w:val="single"/>
        </w:rPr>
        <w:t>玉环市</w:t>
      </w:r>
      <w:r>
        <w:rPr>
          <w:rFonts w:hint="eastAsia" w:ascii="Times New Roman" w:hAnsi="Times New Roman" w:cs="Times New Roman"/>
          <w:color w:val="auto"/>
          <w:szCs w:val="21"/>
          <w:highlight w:val="none"/>
          <w:u w:val="single"/>
          <w:lang w:eastAsia="zh-CN"/>
        </w:rPr>
        <w:t>芦浦镇</w:t>
      </w:r>
      <w:r>
        <w:rPr>
          <w:rFonts w:hint="default" w:ascii="Times New Roman" w:hAnsi="Times New Roman" w:cs="Times New Roman"/>
          <w:color w:val="auto"/>
          <w:szCs w:val="21"/>
          <w:highlight w:val="none"/>
          <w:u w:val="single"/>
        </w:rPr>
        <w:t>辖区内</w:t>
      </w:r>
    </w:p>
    <w:p>
      <w:pPr>
        <w:snapToGrid w:val="0"/>
        <w:spacing w:line="400" w:lineRule="exact"/>
        <w:rPr>
          <w:rFonts w:hint="eastAsia" w:ascii="Times New Roman" w:hAnsi="Times New Roman" w:eastAsia="宋体" w:cs="Times New Roman"/>
          <w:color w:val="auto"/>
          <w:szCs w:val="21"/>
          <w:highlight w:val="none"/>
          <w:u w:val="single"/>
          <w:lang w:eastAsia="zh-CN"/>
        </w:rPr>
      </w:pP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t>预报业监理工程师（总监不得兼任）：市政</w:t>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vanish/>
          <w:color w:val="auto"/>
          <w:szCs w:val="21"/>
          <w:highlight w:val="none"/>
          <w:u w:val="single"/>
        </w:rPr>
        <w:pgNum/>
      </w:r>
      <w:r>
        <w:rPr>
          <w:rFonts w:hint="default" w:ascii="Times New Roman" w:hAnsi="Times New Roman" w:cs="Times New Roman"/>
          <w:color w:val="auto"/>
          <w:szCs w:val="21"/>
          <w:highlight w:val="none"/>
        </w:rPr>
        <w:t>建设单位（甲方）：</w:t>
      </w:r>
      <w:r>
        <w:rPr>
          <w:rFonts w:hint="eastAsia" w:ascii="Times New Roman" w:hAnsi="Times New Roman" w:cs="Times New Roman"/>
          <w:color w:val="auto"/>
          <w:szCs w:val="21"/>
          <w:highlight w:val="none"/>
          <w:u w:val="single"/>
          <w:lang w:eastAsia="zh-CN"/>
        </w:rPr>
        <w:t>玉环市芦浦镇人民政府</w:t>
      </w:r>
    </w:p>
    <w:p>
      <w:pPr>
        <w:snapToGrid w:val="0"/>
        <w:spacing w:line="40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监测单位（乙方）：</w:t>
      </w:r>
      <w:r>
        <w:rPr>
          <w:rFonts w:hint="default" w:ascii="Times New Roman" w:hAnsi="Times New Roman" w:cs="Times New Roman"/>
          <w:color w:val="auto"/>
          <w:szCs w:val="21"/>
          <w:highlight w:val="none"/>
          <w:u w:val="single"/>
        </w:rPr>
        <w:t xml:space="preserve">                              </w:t>
      </w:r>
    </w:p>
    <w:p>
      <w:pPr>
        <w:snapToGrid w:val="0"/>
        <w:spacing w:line="400" w:lineRule="exact"/>
        <w:rPr>
          <w:rFonts w:hint="default" w:ascii="Times New Roman" w:hAnsi="Times New Roman" w:cs="Times New Roman"/>
          <w:color w:val="auto"/>
          <w:szCs w:val="21"/>
          <w:highlight w:val="none"/>
        </w:rPr>
      </w:pPr>
    </w:p>
    <w:p>
      <w:pPr>
        <w:snapToGrid w:val="0"/>
        <w:spacing w:line="40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为加强廉政建设，规范项目委托与被委托双方的各项活动，防止发生各种谋取不正当利益的违法违纪行为，保护国家、集体和当事人的合法权益，根据国家有关法律法规和廉政建设责任制规定，特订立本廉政责任书。</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第一条　甲乙双方的责任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（一）应严格遵守国家关于市场准入、项目招标投标和市场活动的有关法律、法规，相关政策，以及廉政建设的各项规定。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（二）严格执行项目合同文件，自觉按合同办事。</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（三）业务活动必须坚持公开、公平、公正、诚信、透明的原则（除法律法规另有规定者外），不得为获取不正当的利益，损害国家、集体和对方利益，不得违反项目建设管理、建设的规章制度。</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（四）发现对方在业务活动中有违规、违纪、违法行为的，应及时提醒对方，情节严重的，应向其上级主管部门或纪检监察、司法等有关机关举报。</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第二条　甲方的责任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甲方的领导和从事该项目的工作人员在项目建设的事前、事中、事后应遵守以下规定：</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（一）不准向乙方和相关单位索要或接受回扣、礼金、有价证券、贵重物品和好处费、感谢费等。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（二）不准在乙方和相关单位报销任何应由甲方或个人支付的费用。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（三）不准要求、暗示或接受乙方和相关单位为个人装修住房、婚丧嫁娶、配偶子女的工作安排以及出国（境）、旅游等提供方便。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（四）不准参加有可能影响公正执行公务的乙方和相关单位的宴请、健身、娱乐等活动。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向乙方和相关单位介绍或为配偶、子女、亲属参与同甲方项目合同有关的分包项目等活动。不准向乙方和相关单位介绍或为配偶、子女、亲属参与同项目合同有关的设备、材料、项目分包、劳务等经济活动。不得以任何理由向乙方和相关单位推荐分包单位和要求购买与项目合同规定以外的材料、设备等。</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第三条　乙方的责任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应与甲方和相关单位保持正常的业务交往，按照有关法律法规和程序开展业务工作，以及法规，认真履行职责，并遵守以下规定： </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（一）不准以任何理由向甲方和相关单位及其工作人员索要、接受或赠送礼金、有价证券、贵重物品及回扣、好处费、感谢费等。</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（二）不准以任何理由为甲方和相关单位报销应由对方或个人支付的费用。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（三）不准接受或暗示为甲方、相关单位或个人装修住房、婚丧嫁娶、配偶子女的工作安排以及出国（境）、旅游等提供方便。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（四）不准违反合同约定而使用甲方、相关单位提供的通信、交通工具和高档办公用品。</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（五）不准以任何理由为甲方、相关单位或个人组织有可能影响公正执行公务的宴请、健身、娱乐等活动。</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（六）不准接受监测单位的宴请、健身、娱乐等活动。</w:t>
      </w:r>
    </w:p>
    <w:p>
      <w:pPr>
        <w:spacing w:before="120" w:beforeLines="50" w:after="120" w:afterLines="50" w:line="260" w:lineRule="exact"/>
        <w:ind w:firstLine="422" w:firstLineChars="200"/>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第四条　违约责任</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（三）乙方工作人员有违反本责任书第三条责任行为中任何一条规定的，每次罚款人民币1000元。</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第五条　本责任书作为合同的附件，与合同具有同等法律效力。经双方签署后立即生效。</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第六条　本责任书的有效期为双方签署之日起至该项目竣工验收合格时止。</w:t>
      </w:r>
    </w:p>
    <w:p>
      <w:pPr>
        <w:snapToGrid w:val="0"/>
        <w:spacing w:line="40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第七条　本责任书一式四份，由甲乙双方各执一份，送交甲乙双方的监督单位各一份。</w:t>
      </w:r>
    </w:p>
    <w:p>
      <w:pPr>
        <w:snapToGrid w:val="0"/>
        <w:spacing w:after="50" w:line="288" w:lineRule="auto"/>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napToGrid w:val="0"/>
        <w:spacing w:after="50" w:line="288" w:lineRule="auto"/>
        <w:rPr>
          <w:rFonts w:hint="default" w:ascii="Times New Roman" w:hAnsi="Times New Roman" w:cs="Times New Roman"/>
          <w:color w:val="auto"/>
          <w:sz w:val="24"/>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甲方单位：（盖章）　　　　　　　　　　　　　乙方单位：（盖章）</w:t>
      </w:r>
    </w:p>
    <w:p>
      <w:pPr>
        <w:snapToGrid w:val="0"/>
        <w:spacing w:after="50" w:line="240" w:lineRule="exact"/>
        <w:ind w:firstLine="315" w:firstLineChars="15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法定代表人（签章）：</w:t>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ab/>
      </w:r>
      <w:r>
        <w:rPr>
          <w:rFonts w:hint="default" w:ascii="Times New Roman" w:hAnsi="Times New Roman" w:cs="Times New Roman"/>
          <w:color w:val="auto"/>
          <w:szCs w:val="21"/>
          <w:highlight w:val="none"/>
        </w:rPr>
        <w:t xml:space="preserve">              法定代表人（签章）：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甲方监督单位（盖章）　　　　　　　　       乙方监督单位（盖章）</w:t>
      </w:r>
    </w:p>
    <w:p>
      <w:pPr>
        <w:snapToGrid w:val="0"/>
        <w:spacing w:after="50" w:line="240" w:lineRule="exact"/>
        <w:ind w:firstLine="315" w:firstLineChars="150"/>
        <w:rPr>
          <w:rFonts w:hint="default" w:ascii="Times New Roman" w:hAnsi="Times New Roman" w:cs="Times New Roman"/>
          <w:color w:val="auto"/>
          <w:szCs w:val="21"/>
          <w:highlight w:val="none"/>
        </w:rPr>
      </w:pPr>
    </w:p>
    <w:p>
      <w:pPr>
        <w:snapToGrid w:val="0"/>
        <w:spacing w:after="50" w:line="240" w:lineRule="exact"/>
        <w:ind w:firstLine="735" w:firstLineChars="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年  　月  　日                               　年  　月  　日</w:t>
      </w:r>
    </w:p>
    <w:p>
      <w:pPr>
        <w:rPr>
          <w:rFonts w:hint="default" w:ascii="Times New Roman" w:hAnsi="Times New Roman" w:cs="Times New Roman"/>
          <w:color w:val="auto"/>
          <w:szCs w:val="21"/>
          <w:highlight w:val="none"/>
        </w:rPr>
      </w:pPr>
    </w:p>
    <w:p>
      <w:pPr>
        <w:widowControl/>
        <w:adjustRightInd w:val="0"/>
        <w:snapToGrid w:val="0"/>
        <w:spacing w:line="380" w:lineRule="exact"/>
        <w:ind w:firstLine="562" w:firstLineChars="200"/>
        <w:jc w:val="left"/>
        <w:rPr>
          <w:rFonts w:hint="default" w:ascii="Times New Roman" w:hAnsi="Times New Roman" w:cs="Times New Roman"/>
          <w:color w:val="auto"/>
          <w:kern w:val="0"/>
          <w:szCs w:val="21"/>
          <w:highlight w:val="none"/>
        </w:rPr>
      </w:pPr>
      <w:bookmarkStart w:id="349" w:name="_Toc163027431"/>
      <w:bookmarkStart w:id="350" w:name="_Toc288213723"/>
      <w:bookmarkStart w:id="351" w:name="_Toc106012814"/>
      <w:bookmarkStart w:id="352" w:name="_Toc184620115"/>
      <w:r>
        <w:rPr>
          <w:rFonts w:hint="default" w:ascii="Times New Roman" w:hAnsi="Times New Roman" w:cs="Times New Roman"/>
          <w:b/>
          <w:bCs/>
          <w:color w:val="auto"/>
          <w:sz w:val="28"/>
          <w:szCs w:val="28"/>
          <w:highlight w:val="none"/>
        </w:rPr>
        <w:br w:type="page"/>
      </w:r>
      <w:bookmarkStart w:id="353" w:name="_Toc427133006"/>
      <w:bookmarkStart w:id="354" w:name="_Toc427131743"/>
    </w:p>
    <w:p>
      <w:pPr>
        <w:pStyle w:val="3"/>
        <w:numPr>
          <w:ilvl w:val="0"/>
          <w:numId w:val="0"/>
        </w:numPr>
        <w:spacing w:line="288" w:lineRule="auto"/>
        <w:jc w:val="center"/>
        <w:rPr>
          <w:rFonts w:hint="default" w:ascii="Times New Roman" w:hAnsi="Times New Roman" w:cs="Times New Roman"/>
          <w:color w:val="auto"/>
          <w:highlight w:val="none"/>
        </w:rPr>
      </w:pPr>
      <w:bookmarkStart w:id="355" w:name="_Toc25592_WPSOffice_Level1"/>
      <w:bookmarkStart w:id="356" w:name="_Toc14837"/>
      <w:bookmarkStart w:id="357" w:name="_Toc21104_WPSOffice_Level1"/>
      <w:r>
        <w:rPr>
          <w:rFonts w:hint="default" w:ascii="Times New Roman" w:hAnsi="Times New Roman" w:cs="Times New Roman"/>
          <w:color w:val="auto"/>
          <w:highlight w:val="none"/>
          <w:lang w:eastAsia="zh-CN"/>
        </w:rPr>
        <w:t>第六章</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 </w:t>
      </w:r>
      <w:bookmarkStart w:id="358" w:name="_Toc169487824"/>
      <w:bookmarkStart w:id="359" w:name="_Toc364328387"/>
      <w:r>
        <w:rPr>
          <w:rFonts w:hint="default" w:ascii="Times New Roman" w:hAnsi="Times New Roman" w:cs="Times New Roman"/>
          <w:color w:val="auto"/>
          <w:highlight w:val="none"/>
        </w:rPr>
        <w:t>投标文件格式</w:t>
      </w:r>
      <w:bookmarkEnd w:id="355"/>
      <w:bookmarkEnd w:id="356"/>
      <w:bookmarkEnd w:id="357"/>
      <w:bookmarkEnd w:id="358"/>
      <w:bookmarkEnd w:id="359"/>
    </w:p>
    <w:p>
      <w:pPr>
        <w:spacing w:line="360" w:lineRule="auto"/>
        <w:jc w:val="center"/>
        <w:rPr>
          <w:rFonts w:hint="default" w:ascii="Times New Roman" w:hAnsi="Times New Roman" w:eastAsia="黑体" w:cs="Times New Roman"/>
          <w:b/>
          <w:bCs/>
          <w:color w:val="auto"/>
          <w:szCs w:val="18"/>
          <w:highlight w:val="none"/>
        </w:rPr>
        <w:sectPr>
          <w:footnotePr>
            <w:numRestart w:val="eachPage"/>
          </w:footnotePr>
          <w:endnotePr>
            <w:numRestart w:val="eachSect"/>
          </w:endnotePr>
          <w:pgSz w:w="11907" w:h="16840"/>
          <w:pgMar w:top="1701" w:right="1701" w:bottom="1701" w:left="1701" w:header="851" w:footer="838" w:gutter="0"/>
          <w:pgBorders>
            <w:top w:val="none" w:sz="0" w:space="0"/>
            <w:left w:val="none" w:sz="0" w:space="0"/>
            <w:bottom w:val="none" w:sz="0" w:space="0"/>
            <w:right w:val="none" w:sz="0" w:space="0"/>
          </w:pgBorders>
          <w:pgNumType w:fmt="decimal"/>
          <w:cols w:space="720" w:num="1"/>
          <w:docGrid w:linePitch="435" w:charSpace="-6554"/>
        </w:sectPr>
      </w:pPr>
    </w:p>
    <w:p>
      <w:pPr>
        <w:spacing w:line="360" w:lineRule="auto"/>
        <w:jc w:val="center"/>
        <w:rPr>
          <w:rFonts w:hint="eastAsia" w:ascii="宋体" w:hAnsi="宋体"/>
          <w:color w:val="auto"/>
          <w:szCs w:val="21"/>
          <w:highlight w:val="none"/>
        </w:rPr>
      </w:pPr>
      <w:bookmarkStart w:id="360" w:name="_Toc13178_WPSOffice_Level1"/>
      <w:bookmarkStart w:id="361" w:name="_Toc12343"/>
      <w:bookmarkStart w:id="362" w:name="_Toc26708_WPSOffice_Level1"/>
      <w:r>
        <w:rPr>
          <w:rFonts w:hint="eastAsia" w:cs="Arial"/>
          <w:color w:val="auto"/>
          <w:sz w:val="32"/>
          <w:szCs w:val="32"/>
          <w:highlight w:val="none"/>
          <w:u w:val="single"/>
          <w:lang w:eastAsia="zh-CN"/>
        </w:rPr>
        <w:t>2020年芦浦镇创建国家卫生镇病媒生物防治项目</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（商务标）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after="0" w:line="240" w:lineRule="exact"/>
        <w:jc w:val="both"/>
        <w:rPr>
          <w:rFonts w:hint="default" w:ascii="Times New Roman" w:hAnsi="Times New Roman" w:cs="Times New Roman"/>
          <w:b w:val="0"/>
          <w:bCs w:val="0"/>
          <w:color w:val="auto"/>
          <w:sz w:val="21"/>
          <w:szCs w:val="21"/>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pStyle w:val="36"/>
        <w:spacing w:before="0" w:after="0" w:line="240" w:lineRule="exact"/>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附件一：</w:t>
      </w:r>
      <w:bookmarkEnd w:id="349"/>
      <w:bookmarkEnd w:id="350"/>
      <w:bookmarkEnd w:id="351"/>
      <w:bookmarkEnd w:id="352"/>
      <w:bookmarkEnd w:id="353"/>
      <w:bookmarkEnd w:id="354"/>
      <w:bookmarkEnd w:id="360"/>
      <w:bookmarkEnd w:id="361"/>
      <w:bookmarkEnd w:id="362"/>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2020年芦浦镇创建国家卫生镇病媒生物防治项目</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投 标 函</w:t>
      </w:r>
    </w:p>
    <w:p>
      <w:pPr>
        <w:pStyle w:val="21"/>
        <w:spacing w:line="540" w:lineRule="exact"/>
        <w:ind w:left="99" w:leftChars="47"/>
        <w:rPr>
          <w:rFonts w:hint="default" w:ascii="Times New Roman" w:hAnsi="Times New Roman" w:cs="Times New Roman"/>
          <w:snapToGrid w:val="0"/>
          <w:color w:val="auto"/>
          <w:w w:val="107"/>
          <w:kern w:val="0"/>
          <w:szCs w:val="21"/>
          <w:highlight w:val="none"/>
          <w:u w:val="single"/>
        </w:rPr>
      </w:pPr>
      <w:r>
        <w:rPr>
          <w:rFonts w:hint="eastAsia" w:ascii="Times New Roman" w:hAnsi="Times New Roman" w:cs="Times New Roman"/>
          <w:color w:val="auto"/>
          <w:szCs w:val="21"/>
          <w:highlight w:val="none"/>
          <w:u w:val="single"/>
          <w:lang w:eastAsia="zh-CN"/>
        </w:rPr>
        <w:t>玉环市芦浦镇人民政府</w:t>
      </w:r>
      <w:r>
        <w:rPr>
          <w:rFonts w:hint="default" w:ascii="Times New Roman" w:hAnsi="Times New Roman" w:cs="Times New Roman"/>
          <w:snapToGrid w:val="0"/>
          <w:color w:val="auto"/>
          <w:w w:val="107"/>
          <w:kern w:val="0"/>
          <w:szCs w:val="21"/>
          <w:highlight w:val="none"/>
          <w:u w:val="single"/>
        </w:rPr>
        <w:t>：</w:t>
      </w:r>
    </w:p>
    <w:p>
      <w:pPr>
        <w:numPr>
          <w:ilvl w:val="0"/>
          <w:numId w:val="0"/>
        </w:numPr>
        <w:spacing w:line="540" w:lineRule="exact"/>
        <w:ind w:firstLine="420" w:firstLineChars="200"/>
        <w:rPr>
          <w:rFonts w:hint="default" w:ascii="Times New Roman" w:hAnsi="Times New Roman" w:cs="Times New Roman"/>
          <w:snapToGrid w:val="0"/>
          <w:color w:val="auto"/>
          <w:kern w:val="24"/>
          <w:szCs w:val="21"/>
          <w:highlight w:val="none"/>
        </w:rPr>
      </w:pPr>
      <w:r>
        <w:rPr>
          <w:rFonts w:hint="default" w:ascii="Times New Roman" w:hAnsi="Times New Roman" w:cs="Times New Roman"/>
          <w:snapToGrid w:val="0"/>
          <w:color w:val="auto"/>
          <w:kern w:val="0"/>
          <w:szCs w:val="21"/>
          <w:highlight w:val="none"/>
          <w:lang w:eastAsia="zh-CN"/>
        </w:rPr>
        <w:t>一、</w:t>
      </w:r>
      <w:r>
        <w:rPr>
          <w:rFonts w:hint="default" w:ascii="Times New Roman" w:hAnsi="Times New Roman" w:cs="Times New Roman"/>
          <w:snapToGrid w:val="0"/>
          <w:color w:val="auto"/>
          <w:kern w:val="0"/>
          <w:szCs w:val="21"/>
          <w:highlight w:val="none"/>
        </w:rPr>
        <w:t>根据己收到的</w:t>
      </w:r>
      <w:r>
        <w:rPr>
          <w:rFonts w:hint="eastAsia" w:ascii="Times New Roman" w:hAnsi="Times New Roman" w:cs="Times New Roman"/>
          <w:color w:val="auto"/>
          <w:szCs w:val="21"/>
          <w:highlight w:val="none"/>
          <w:u w:val="single"/>
          <w:lang w:eastAsia="zh-CN"/>
        </w:rPr>
        <w:t>2020年芦浦镇创建国家卫生镇病媒生物防治项目</w:t>
      </w:r>
      <w:r>
        <w:rPr>
          <w:rFonts w:hint="default" w:ascii="Times New Roman" w:hAnsi="Times New Roman" w:cs="Times New Roman"/>
          <w:color w:val="auto"/>
          <w:szCs w:val="21"/>
          <w:highlight w:val="none"/>
        </w:rPr>
        <w:t>招</w:t>
      </w:r>
      <w:r>
        <w:rPr>
          <w:rFonts w:hint="default" w:ascii="Times New Roman" w:hAnsi="Times New Roman" w:cs="Times New Roman"/>
          <w:snapToGrid w:val="0"/>
          <w:color w:val="auto"/>
          <w:kern w:val="0"/>
          <w:szCs w:val="21"/>
          <w:highlight w:val="none"/>
        </w:rPr>
        <w:t>标文件，我单位经考察现场和研究上述项目的招标文件后，</w:t>
      </w:r>
      <w:r>
        <w:rPr>
          <w:rFonts w:hint="default" w:ascii="Times New Roman" w:hAnsi="Times New Roman" w:cs="Times New Roman"/>
          <w:snapToGrid w:val="0"/>
          <w:color w:val="auto"/>
          <w:w w:val="107"/>
          <w:kern w:val="0"/>
          <w:szCs w:val="21"/>
          <w:highlight w:val="none"/>
        </w:rPr>
        <w:t>我方愿以总报价</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万元</w:t>
      </w:r>
      <w:r>
        <w:rPr>
          <w:rFonts w:hint="default" w:ascii="Times New Roman" w:hAnsi="Times New Roman" w:cs="Times New Roman"/>
          <w:snapToGrid w:val="0"/>
          <w:color w:val="auto"/>
          <w:kern w:val="0"/>
          <w:szCs w:val="21"/>
          <w:highlight w:val="none"/>
        </w:rPr>
        <w:t>（保留二位小数）</w:t>
      </w:r>
      <w:r>
        <w:rPr>
          <w:rFonts w:hint="default" w:ascii="Times New Roman" w:hAnsi="Times New Roman" w:cs="Times New Roman"/>
          <w:color w:val="auto"/>
          <w:szCs w:val="21"/>
          <w:highlight w:val="none"/>
        </w:rPr>
        <w:t>，</w:t>
      </w:r>
      <w:r>
        <w:rPr>
          <w:rFonts w:hint="default" w:ascii="Times New Roman" w:hAnsi="Times New Roman" w:cs="Times New Roman"/>
          <w:snapToGrid w:val="0"/>
          <w:color w:val="auto"/>
          <w:w w:val="107"/>
          <w:kern w:val="0"/>
          <w:szCs w:val="21"/>
          <w:highlight w:val="none"/>
        </w:rPr>
        <w:t>大写金额人民币</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拾</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万</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仟</w:t>
      </w:r>
      <w:r>
        <w:rPr>
          <w:rFonts w:hint="default" w:ascii="Times New Roman" w:hAnsi="Times New Roman" w:cs="Times New Roman"/>
          <w:color w:val="auto"/>
          <w:w w:val="107"/>
          <w:szCs w:val="21"/>
          <w:highlight w:val="none"/>
          <w:u w:val="single"/>
        </w:rPr>
        <w:t xml:space="preserve">    </w:t>
      </w:r>
      <w:r>
        <w:rPr>
          <w:rFonts w:hint="default" w:ascii="Times New Roman" w:hAnsi="Times New Roman" w:cs="Times New Roman"/>
          <w:color w:val="auto"/>
          <w:szCs w:val="21"/>
          <w:highlight w:val="none"/>
        </w:rPr>
        <w:t>佰元</w:t>
      </w:r>
      <w:r>
        <w:rPr>
          <w:rFonts w:hint="default" w:ascii="Times New Roman" w:hAnsi="Times New Roman" w:cs="Times New Roman"/>
          <w:snapToGrid w:val="0"/>
          <w:color w:val="auto"/>
          <w:kern w:val="0"/>
          <w:szCs w:val="21"/>
          <w:highlight w:val="none"/>
        </w:rPr>
        <w:t>，</w:t>
      </w:r>
      <w:r>
        <w:rPr>
          <w:rFonts w:hint="default" w:ascii="Times New Roman" w:hAnsi="Times New Roman" w:cs="Times New Roman"/>
          <w:snapToGrid w:val="0"/>
          <w:color w:val="auto"/>
          <w:kern w:val="24"/>
          <w:szCs w:val="21"/>
          <w:highlight w:val="none"/>
        </w:rPr>
        <w:t>承担上述</w:t>
      </w:r>
      <w:r>
        <w:rPr>
          <w:rFonts w:hint="default" w:ascii="Times New Roman" w:hAnsi="Times New Roman" w:cs="Times New Roman"/>
          <w:snapToGrid w:val="0"/>
          <w:color w:val="auto"/>
          <w:kern w:val="0"/>
          <w:szCs w:val="21"/>
          <w:highlight w:val="none"/>
        </w:rPr>
        <w:t>项目</w:t>
      </w:r>
      <w:r>
        <w:rPr>
          <w:rFonts w:hint="default" w:ascii="Times New Roman" w:hAnsi="Times New Roman" w:cs="Times New Roman"/>
          <w:color w:val="auto"/>
          <w:szCs w:val="21"/>
          <w:highlight w:val="none"/>
        </w:rPr>
        <w:t>（招标文件规定的全部范围内所有内容）</w:t>
      </w:r>
      <w:r>
        <w:rPr>
          <w:rFonts w:hint="default" w:ascii="Times New Roman" w:hAnsi="Times New Roman" w:cs="Times New Roman"/>
          <w:snapToGrid w:val="0"/>
          <w:color w:val="auto"/>
          <w:kern w:val="24"/>
          <w:szCs w:val="21"/>
          <w:highlight w:val="none"/>
        </w:rPr>
        <w:t>。</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二、一旦我方中标，</w:t>
      </w:r>
      <w:r>
        <w:rPr>
          <w:rFonts w:hint="default" w:ascii="Times New Roman" w:hAnsi="Times New Roman" w:cs="Times New Roman"/>
          <w:color w:val="auto"/>
          <w:szCs w:val="21"/>
          <w:highlight w:val="none"/>
        </w:rPr>
        <w:t>我方</w:t>
      </w:r>
      <w:r>
        <w:rPr>
          <w:rFonts w:hint="default" w:ascii="Times New Roman" w:hAnsi="Times New Roman" w:cs="Times New Roman"/>
          <w:snapToGrid w:val="0"/>
          <w:color w:val="auto"/>
          <w:kern w:val="0"/>
          <w:szCs w:val="21"/>
          <w:highlight w:val="none"/>
        </w:rPr>
        <w:t>在全部同意招标文件内容前提下，并保证人员设备及时到位。保证相关人员的到位率达到招标文件要求，同时保证本投标文件的所有资料真实有效，如有虚假成份，愿承担一切后果。</w:t>
      </w:r>
    </w:p>
    <w:p>
      <w:pPr>
        <w:spacing w:line="540" w:lineRule="exact"/>
        <w:ind w:firstLine="420" w:firstLineChars="20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三、除非另外达成协议并生效，你方的中标通知书和本投标文件将构成约束我们双方的合同。</w:t>
      </w:r>
    </w:p>
    <w:p>
      <w:pPr>
        <w:spacing w:line="5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snapToGrid w:val="0"/>
          <w:color w:val="auto"/>
          <w:kern w:val="0"/>
          <w:szCs w:val="21"/>
          <w:highlight w:val="none"/>
        </w:rPr>
        <w:t>四、</w:t>
      </w:r>
      <w:r>
        <w:rPr>
          <w:rFonts w:hint="default" w:ascii="Times New Roman" w:hAnsi="Times New Roman" w:cs="Times New Roman"/>
          <w:color w:val="auto"/>
          <w:szCs w:val="21"/>
          <w:highlight w:val="none"/>
        </w:rPr>
        <w:t>我方的投标担保已按招标文件的要求递交</w:t>
      </w:r>
      <w:r>
        <w:rPr>
          <w:rFonts w:hint="default" w:ascii="Times New Roman" w:hAnsi="Times New Roman" w:cs="Times New Roman"/>
          <w:snapToGrid w:val="0"/>
          <w:color w:val="auto"/>
          <w:kern w:val="0"/>
          <w:szCs w:val="21"/>
          <w:highlight w:val="none"/>
        </w:rPr>
        <w:t>。</w:t>
      </w:r>
    </w:p>
    <w:p>
      <w:pPr>
        <w:spacing w:line="540" w:lineRule="exact"/>
        <w:ind w:firstLine="480"/>
        <w:jc w:val="right"/>
        <w:rPr>
          <w:rFonts w:hint="default" w:ascii="Times New Roman" w:hAnsi="Times New Roman" w:cs="Times New Roman"/>
          <w:color w:val="auto"/>
          <w:szCs w:val="21"/>
          <w:highlight w:val="none"/>
        </w:rPr>
      </w:pPr>
    </w:p>
    <w:p>
      <w:pPr>
        <w:spacing w:line="540" w:lineRule="exact"/>
        <w:ind w:firstLine="480"/>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40" w:lineRule="exact"/>
        <w:ind w:firstLine="4515" w:firstLineChars="2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40" w:lineRule="exact"/>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   年     月     日</w:t>
      </w:r>
    </w:p>
    <w:p>
      <w:pPr>
        <w:pStyle w:val="36"/>
        <w:jc w:val="both"/>
        <w:rPr>
          <w:rFonts w:hint="default" w:ascii="Times New Roman" w:hAnsi="Times New Roman" w:cs="Times New Roman"/>
          <w:b w:val="0"/>
          <w:bCs w:val="0"/>
          <w:color w:val="auto"/>
          <w:sz w:val="21"/>
          <w:szCs w:val="21"/>
          <w:highlight w:val="none"/>
        </w:rPr>
      </w:pPr>
      <w:bookmarkStart w:id="363" w:name="_Toc288213725"/>
      <w:bookmarkStart w:id="364" w:name="_Toc427131744"/>
      <w:bookmarkStart w:id="365" w:name="_Toc243708873"/>
      <w:bookmarkStart w:id="366" w:name="_Toc243713932"/>
      <w:bookmarkStart w:id="367" w:name="_Toc331149331"/>
      <w:bookmarkStart w:id="368" w:name="_Toc184620117"/>
      <w:bookmarkStart w:id="369" w:name="_Toc243713933"/>
      <w:bookmarkStart w:id="370" w:name="_Toc163027432"/>
      <w:bookmarkStart w:id="371" w:name="_Toc427133007"/>
      <w:bookmarkStart w:id="372" w:name="_Toc268120606"/>
      <w:bookmarkStart w:id="373" w:name="_Toc184620118"/>
      <w:bookmarkStart w:id="374" w:name="_Toc243707032"/>
      <w:bookmarkStart w:id="375" w:name="_Toc106012815"/>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bookmarkEnd w:id="363"/>
    <w:bookmarkEnd w:id="364"/>
    <w:bookmarkEnd w:id="365"/>
    <w:bookmarkEnd w:id="366"/>
    <w:bookmarkEnd w:id="367"/>
    <w:bookmarkEnd w:id="368"/>
    <w:bookmarkEnd w:id="369"/>
    <w:bookmarkEnd w:id="370"/>
    <w:bookmarkEnd w:id="371"/>
    <w:bookmarkEnd w:id="372"/>
    <w:bookmarkEnd w:id="373"/>
    <w:bookmarkEnd w:id="374"/>
    <w:p>
      <w:pPr>
        <w:pStyle w:val="36"/>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Times New Roman" w:hAnsi="Times New Roman" w:eastAsia="宋体" w:cs="Times New Roman"/>
          <w:b/>
          <w:bCs/>
          <w:color w:val="auto"/>
          <w:sz w:val="28"/>
          <w:szCs w:val="28"/>
          <w:highlight w:val="none"/>
          <w:lang w:eastAsia="zh-CN"/>
        </w:rPr>
      </w:pPr>
      <w:bookmarkStart w:id="376" w:name="_Toc12805_WPSOffice_Level1"/>
      <w:bookmarkStart w:id="377" w:name="_Toc12024_WPSOffice_Level1"/>
      <w:bookmarkStart w:id="378" w:name="_Toc6657"/>
      <w:bookmarkStart w:id="379" w:name="_Toc106553077"/>
      <w:r>
        <w:rPr>
          <w:rFonts w:hint="default" w:ascii="Times New Roman" w:hAnsi="Times New Roman" w:cs="Times New Roman"/>
          <w:b w:val="0"/>
          <w:bCs w:val="0"/>
          <w:color w:val="auto"/>
          <w:sz w:val="28"/>
          <w:szCs w:val="28"/>
          <w:highlight w:val="none"/>
        </w:rPr>
        <w:t>附件</w:t>
      </w:r>
      <w:r>
        <w:rPr>
          <w:rFonts w:hint="eastAsia" w:ascii="Times New Roman" w:hAnsi="Times New Roman" w:cs="Times New Roman"/>
          <w:b w:val="0"/>
          <w:bCs w:val="0"/>
          <w:color w:val="auto"/>
          <w:sz w:val="28"/>
          <w:szCs w:val="28"/>
          <w:highlight w:val="none"/>
          <w:lang w:eastAsia="zh-CN"/>
        </w:rPr>
        <w:t>二</w:t>
      </w:r>
      <w:r>
        <w:rPr>
          <w:rFonts w:hint="default" w:ascii="Times New Roman" w:hAnsi="Times New Roman" w:cs="Times New Roman"/>
          <w:b w:val="0"/>
          <w:bCs w:val="0"/>
          <w:color w:val="auto"/>
          <w:sz w:val="28"/>
          <w:szCs w:val="28"/>
          <w:highlight w:val="none"/>
        </w:rPr>
        <w:t>：</w:t>
      </w:r>
      <w:r>
        <w:rPr>
          <w:rFonts w:hint="eastAsia" w:ascii="Times New Roman" w:hAnsi="Times New Roman" w:cs="Times New Roman"/>
          <w:b/>
          <w:bCs/>
          <w:color w:val="auto"/>
          <w:sz w:val="28"/>
          <w:szCs w:val="28"/>
          <w:highlight w:val="none"/>
          <w:lang w:eastAsia="zh-CN"/>
        </w:rPr>
        <w:t>报价清单</w:t>
      </w:r>
    </w:p>
    <w:tbl>
      <w:tblPr>
        <w:tblStyle w:val="37"/>
        <w:tblpPr w:leftFromText="180" w:rightFromText="180" w:vertAnchor="text" w:horzAnchor="page" w:tblpX="1166" w:tblpY="232"/>
        <w:tblOverlap w:val="never"/>
        <w:tblW w:w="997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
        <w:gridCol w:w="1330"/>
        <w:gridCol w:w="1259"/>
        <w:gridCol w:w="1139"/>
        <w:gridCol w:w="872"/>
        <w:gridCol w:w="525"/>
        <w:gridCol w:w="834"/>
        <w:gridCol w:w="2545"/>
        <w:gridCol w:w="7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3" w:hRule="atLeast"/>
        </w:trPr>
        <w:tc>
          <w:tcPr>
            <w:tcW w:w="714" w:type="dxa"/>
            <w:noWrap w:val="0"/>
            <w:vAlign w:val="center"/>
          </w:tcPr>
          <w:p>
            <w:pPr>
              <w:spacing w:line="440" w:lineRule="atLeast"/>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330"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项目内容</w:t>
            </w:r>
          </w:p>
        </w:tc>
        <w:tc>
          <w:tcPr>
            <w:tcW w:w="1259"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采购内容</w:t>
            </w:r>
          </w:p>
        </w:tc>
        <w:tc>
          <w:tcPr>
            <w:tcW w:w="1139"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型号及规格</w:t>
            </w:r>
          </w:p>
        </w:tc>
        <w:tc>
          <w:tcPr>
            <w:tcW w:w="872" w:type="dxa"/>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数量</w:t>
            </w:r>
          </w:p>
        </w:tc>
        <w:tc>
          <w:tcPr>
            <w:tcW w:w="525" w:type="dxa"/>
            <w:tcBorders>
              <w:right w:val="single" w:color="auto" w:sz="4" w:space="0"/>
            </w:tcBorders>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单价</w:t>
            </w:r>
          </w:p>
        </w:tc>
        <w:tc>
          <w:tcPr>
            <w:tcW w:w="834" w:type="dxa"/>
            <w:tcBorders>
              <w:left w:val="single" w:color="auto" w:sz="4" w:space="0"/>
              <w:right w:val="single" w:color="auto" w:sz="4" w:space="0"/>
            </w:tcBorders>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金额（元）</w:t>
            </w:r>
          </w:p>
        </w:tc>
        <w:tc>
          <w:tcPr>
            <w:tcW w:w="2545" w:type="dxa"/>
            <w:tcBorders>
              <w:left w:val="single" w:color="auto" w:sz="4" w:space="0"/>
              <w:right w:val="single" w:color="auto" w:sz="4" w:space="0"/>
            </w:tcBorders>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说明</w:t>
            </w:r>
          </w:p>
        </w:tc>
        <w:tc>
          <w:tcPr>
            <w:tcW w:w="757" w:type="dxa"/>
            <w:tcBorders>
              <w:left w:val="single" w:color="auto" w:sz="4" w:space="0"/>
            </w:tcBorders>
            <w:noWrap w:val="0"/>
            <w:vAlign w:val="center"/>
          </w:tcPr>
          <w:p>
            <w:pPr>
              <w:spacing w:line="44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4" w:type="dxa"/>
            <w:noWrap w:val="0"/>
            <w:vAlign w:val="center"/>
          </w:tcPr>
          <w:p>
            <w:pPr>
              <w:spacing w:line="300" w:lineRule="atLeast"/>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330" w:type="dxa"/>
            <w:vMerge w:val="restart"/>
            <w:noWrap w:val="0"/>
            <w:vAlign w:val="center"/>
          </w:tcPr>
          <w:p>
            <w:pPr>
              <w:spacing w:line="300" w:lineRule="atLeast"/>
              <w:ind w:right="60"/>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外环境灭鼠药投放，居民住户，重点单位重点场所，有关沿街十小单位鼠药、蟑螂药发放，建城区内灭鼠毒饵站安装</w:t>
            </w:r>
          </w:p>
        </w:tc>
        <w:tc>
          <w:tcPr>
            <w:tcW w:w="1259"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0.005%溴鼠灵饵剂</w:t>
            </w:r>
          </w:p>
        </w:tc>
        <w:tc>
          <w:tcPr>
            <w:tcW w:w="1139"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颗粒剂100克/包</w:t>
            </w:r>
          </w:p>
        </w:tc>
        <w:tc>
          <w:tcPr>
            <w:tcW w:w="872" w:type="dxa"/>
            <w:noWrap w:val="0"/>
            <w:vAlign w:val="center"/>
          </w:tcPr>
          <w:p>
            <w:pPr>
              <w:spacing w:line="300" w:lineRule="atLeast"/>
              <w:jc w:val="center"/>
              <w:rPr>
                <w:rFonts w:hint="default"/>
                <w:color w:val="auto"/>
                <w:highlight w:val="none"/>
                <w:lang w:val="en-US" w:eastAsia="zh-CN"/>
              </w:rPr>
            </w:pPr>
            <w:r>
              <w:rPr>
                <w:rFonts w:hint="eastAsia"/>
                <w:color w:val="auto"/>
                <w:highlight w:val="none"/>
                <w:lang w:val="en-US" w:eastAsia="zh-CN"/>
              </w:rPr>
              <w:t>3吨</w:t>
            </w:r>
          </w:p>
        </w:tc>
        <w:tc>
          <w:tcPr>
            <w:tcW w:w="525" w:type="dxa"/>
            <w:tcBorders>
              <w:right w:val="single" w:color="auto" w:sz="4" w:space="0"/>
            </w:tcBorders>
            <w:noWrap w:val="0"/>
            <w:vAlign w:val="center"/>
          </w:tcPr>
          <w:p>
            <w:pPr>
              <w:spacing w:line="300" w:lineRule="atLeast"/>
              <w:rPr>
                <w:rFonts w:ascii="宋体" w:hAnsi="宋体"/>
                <w:color w:val="auto"/>
                <w:sz w:val="22"/>
                <w:szCs w:val="22"/>
                <w:highlight w:val="none"/>
              </w:rPr>
            </w:pPr>
          </w:p>
        </w:tc>
        <w:tc>
          <w:tcPr>
            <w:tcW w:w="834" w:type="dxa"/>
            <w:tcBorders>
              <w:left w:val="single" w:color="auto" w:sz="4" w:space="0"/>
              <w:right w:val="single" w:color="auto" w:sz="4" w:space="0"/>
            </w:tcBorders>
            <w:noWrap w:val="0"/>
            <w:vAlign w:val="center"/>
          </w:tcPr>
          <w:p>
            <w:pPr>
              <w:spacing w:line="300" w:lineRule="atLeast"/>
              <w:rPr>
                <w:rFonts w:ascii="宋体" w:hAnsi="宋体"/>
                <w:color w:val="auto"/>
                <w:sz w:val="22"/>
                <w:szCs w:val="22"/>
                <w:highlight w:val="none"/>
              </w:rPr>
            </w:pPr>
          </w:p>
        </w:tc>
        <w:tc>
          <w:tcPr>
            <w:tcW w:w="2545" w:type="dxa"/>
            <w:tcBorders>
              <w:left w:val="single" w:color="auto" w:sz="4" w:space="0"/>
              <w:right w:val="single" w:color="auto" w:sz="4" w:space="0"/>
            </w:tcBorders>
            <w:noWrap w:val="0"/>
            <w:vAlign w:val="center"/>
          </w:tcPr>
          <w:p>
            <w:pPr>
              <w:spacing w:line="300" w:lineRule="atLeast"/>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eastAsia="zh-CN"/>
              </w:rPr>
              <w:t>第二代抗凝血超高效杀鼠剂，适口性好，用量少，杀鼠速度适宜，适口性良好，防霉防腐蚀，有特效解毒剂维生素</w:t>
            </w:r>
            <w:r>
              <w:rPr>
                <w:rFonts w:hint="eastAsia" w:ascii="宋体" w:hAnsi="宋体"/>
                <w:color w:val="auto"/>
                <w:sz w:val="22"/>
                <w:szCs w:val="22"/>
                <w:highlight w:val="none"/>
                <w:lang w:val="en-US" w:eastAsia="zh-CN"/>
              </w:rPr>
              <w:t>K1</w:t>
            </w:r>
          </w:p>
        </w:tc>
        <w:tc>
          <w:tcPr>
            <w:tcW w:w="757" w:type="dxa"/>
            <w:tcBorders>
              <w:left w:val="single" w:color="auto" w:sz="4" w:space="0"/>
            </w:tcBorders>
            <w:noWrap w:val="0"/>
            <w:vAlign w:val="center"/>
          </w:tcPr>
          <w:p>
            <w:pPr>
              <w:spacing w:line="300" w:lineRule="atLeas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用于外环境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1" w:hRule="atLeast"/>
        </w:trPr>
        <w:tc>
          <w:tcPr>
            <w:tcW w:w="714" w:type="dxa"/>
            <w:noWrap w:val="0"/>
            <w:vAlign w:val="center"/>
          </w:tcPr>
          <w:p>
            <w:pPr>
              <w:spacing w:line="30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val="en-US" w:eastAsia="zh-CN"/>
              </w:rPr>
              <w:t>2</w:t>
            </w:r>
          </w:p>
        </w:tc>
        <w:tc>
          <w:tcPr>
            <w:tcW w:w="1330" w:type="dxa"/>
            <w:vMerge w:val="continue"/>
            <w:noWrap w:val="0"/>
            <w:vAlign w:val="center"/>
          </w:tcPr>
          <w:p>
            <w:pPr>
              <w:spacing w:line="300" w:lineRule="atLeast"/>
              <w:ind w:right="60"/>
              <w:jc w:val="center"/>
              <w:rPr>
                <w:rFonts w:ascii="宋体" w:hAnsi="宋体" w:cs="Arial"/>
                <w:color w:val="auto"/>
                <w:sz w:val="22"/>
                <w:szCs w:val="22"/>
                <w:highlight w:val="none"/>
              </w:rPr>
            </w:pPr>
          </w:p>
        </w:tc>
        <w:tc>
          <w:tcPr>
            <w:tcW w:w="1259"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0.005%溴鼠灵饵剂</w:t>
            </w:r>
          </w:p>
        </w:tc>
        <w:tc>
          <w:tcPr>
            <w:tcW w:w="1139" w:type="dxa"/>
            <w:noWrap w:val="0"/>
            <w:vAlign w:val="center"/>
          </w:tcPr>
          <w:p>
            <w:pPr>
              <w:spacing w:line="300" w:lineRule="atLeast"/>
              <w:rPr>
                <w:rFonts w:hint="default"/>
                <w:color w:val="auto"/>
                <w:highlight w:val="none"/>
                <w:lang w:val="en-US" w:eastAsia="zh-CN"/>
              </w:rPr>
            </w:pPr>
            <w:r>
              <w:rPr>
                <w:rFonts w:hint="eastAsia"/>
                <w:color w:val="auto"/>
                <w:highlight w:val="none"/>
                <w:lang w:val="en-US" w:eastAsia="zh-CN"/>
              </w:rPr>
              <w:t>颗粒剂100克/包</w:t>
            </w:r>
          </w:p>
        </w:tc>
        <w:tc>
          <w:tcPr>
            <w:tcW w:w="872" w:type="dxa"/>
            <w:noWrap w:val="0"/>
            <w:vAlign w:val="center"/>
          </w:tcPr>
          <w:p>
            <w:pPr>
              <w:spacing w:line="300" w:lineRule="atLeast"/>
              <w:jc w:val="center"/>
              <w:rPr>
                <w:rFonts w:hint="default"/>
                <w:color w:val="auto"/>
                <w:highlight w:val="none"/>
                <w:lang w:val="en-US" w:eastAsia="zh-CN"/>
              </w:rPr>
            </w:pPr>
            <w:r>
              <w:rPr>
                <w:rFonts w:hint="eastAsia"/>
                <w:color w:val="auto"/>
                <w:highlight w:val="none"/>
                <w:lang w:val="en-US" w:eastAsia="zh-CN"/>
              </w:rPr>
              <w:t>1.2吨</w:t>
            </w:r>
          </w:p>
        </w:tc>
        <w:tc>
          <w:tcPr>
            <w:tcW w:w="525" w:type="dxa"/>
            <w:tcBorders>
              <w:right w:val="single" w:color="auto" w:sz="4" w:space="0"/>
            </w:tcBorders>
            <w:noWrap w:val="0"/>
            <w:vAlign w:val="center"/>
          </w:tcPr>
          <w:p>
            <w:pPr>
              <w:spacing w:line="300" w:lineRule="atLeast"/>
              <w:rPr>
                <w:rFonts w:ascii="宋体" w:hAnsi="宋体"/>
                <w:color w:val="auto"/>
                <w:sz w:val="22"/>
                <w:szCs w:val="22"/>
                <w:highlight w:val="none"/>
              </w:rPr>
            </w:pPr>
          </w:p>
        </w:tc>
        <w:tc>
          <w:tcPr>
            <w:tcW w:w="834" w:type="dxa"/>
            <w:tcBorders>
              <w:left w:val="single" w:color="auto" w:sz="4" w:space="0"/>
              <w:right w:val="single" w:color="auto" w:sz="4" w:space="0"/>
            </w:tcBorders>
            <w:noWrap w:val="0"/>
            <w:vAlign w:val="center"/>
          </w:tcPr>
          <w:p>
            <w:pPr>
              <w:spacing w:line="300" w:lineRule="atLeast"/>
              <w:rPr>
                <w:rFonts w:ascii="宋体" w:hAnsi="宋体"/>
                <w:color w:val="auto"/>
                <w:sz w:val="22"/>
                <w:szCs w:val="22"/>
                <w:highlight w:val="none"/>
              </w:rPr>
            </w:pPr>
          </w:p>
        </w:tc>
        <w:tc>
          <w:tcPr>
            <w:tcW w:w="2545" w:type="dxa"/>
            <w:tcBorders>
              <w:left w:val="single" w:color="auto" w:sz="4" w:space="0"/>
              <w:right w:val="single" w:color="auto" w:sz="4" w:space="0"/>
            </w:tcBorders>
            <w:noWrap w:val="0"/>
            <w:vAlign w:val="center"/>
          </w:tcPr>
          <w:p>
            <w:pPr>
              <w:spacing w:line="300" w:lineRule="atLeast"/>
              <w:rPr>
                <w:rFonts w:hint="default" w:ascii="宋体" w:hAnsi="宋体"/>
                <w:color w:val="auto"/>
                <w:sz w:val="22"/>
                <w:szCs w:val="22"/>
                <w:highlight w:val="none"/>
                <w:lang w:val="en-US"/>
              </w:rPr>
            </w:pPr>
            <w:r>
              <w:rPr>
                <w:rFonts w:hint="eastAsia" w:ascii="宋体" w:hAnsi="宋体"/>
                <w:color w:val="auto"/>
                <w:sz w:val="22"/>
                <w:szCs w:val="22"/>
                <w:highlight w:val="none"/>
                <w:lang w:eastAsia="zh-CN"/>
              </w:rPr>
              <w:t>第二代抗凝血超高效杀鼠剂，适口性好，用量少，杀鼠速度适宜，适口性良好，防霉防腐蚀，有特效解毒剂维生素</w:t>
            </w:r>
            <w:r>
              <w:rPr>
                <w:rFonts w:hint="eastAsia" w:ascii="宋体" w:hAnsi="宋体"/>
                <w:color w:val="auto"/>
                <w:sz w:val="22"/>
                <w:szCs w:val="22"/>
                <w:highlight w:val="none"/>
                <w:lang w:val="en-US" w:eastAsia="zh-CN"/>
              </w:rPr>
              <w:t>K1（5997户药物发放，每户2包）</w:t>
            </w:r>
          </w:p>
        </w:tc>
        <w:tc>
          <w:tcPr>
            <w:tcW w:w="757" w:type="dxa"/>
            <w:tcBorders>
              <w:left w:val="single" w:color="auto" w:sz="4" w:space="0"/>
            </w:tcBorders>
            <w:noWrap w:val="0"/>
            <w:vAlign w:val="center"/>
          </w:tcPr>
          <w:p>
            <w:pPr>
              <w:spacing w:line="300" w:lineRule="atLeast"/>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居民户的药物发放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trPr>
        <w:tc>
          <w:tcPr>
            <w:tcW w:w="714"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3</w:t>
            </w:r>
          </w:p>
        </w:tc>
        <w:tc>
          <w:tcPr>
            <w:tcW w:w="1330" w:type="dxa"/>
            <w:vMerge w:val="continue"/>
            <w:noWrap w:val="0"/>
            <w:vAlign w:val="center"/>
          </w:tcPr>
          <w:p>
            <w:pPr>
              <w:spacing w:line="300" w:lineRule="atLeast"/>
              <w:ind w:right="60"/>
              <w:jc w:val="center"/>
              <w:rPr>
                <w:rFonts w:hint="default" w:ascii="宋体" w:hAnsi="宋体" w:eastAsia="宋体" w:cs="Arial"/>
                <w:color w:val="auto"/>
                <w:sz w:val="22"/>
                <w:szCs w:val="22"/>
                <w:highlight w:val="none"/>
                <w:lang w:val="en-US" w:eastAsia="zh-CN"/>
              </w:rPr>
            </w:pPr>
          </w:p>
        </w:tc>
        <w:tc>
          <w:tcPr>
            <w:tcW w:w="1259"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1%乙酰甲胺磷</w:t>
            </w:r>
          </w:p>
        </w:tc>
        <w:tc>
          <w:tcPr>
            <w:tcW w:w="113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颗粒剂10克/包</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11994包</w:t>
            </w:r>
          </w:p>
        </w:tc>
        <w:tc>
          <w:tcPr>
            <w:tcW w:w="525" w:type="dxa"/>
            <w:tcBorders>
              <w:right w:val="single" w:color="auto" w:sz="4" w:space="0"/>
            </w:tcBorders>
            <w:noWrap w:val="0"/>
            <w:vAlign w:val="center"/>
          </w:tcPr>
          <w:p>
            <w:pPr>
              <w:spacing w:line="300" w:lineRule="atLeast"/>
              <w:jc w:val="center"/>
              <w:rPr>
                <w:rFonts w:hint="default" w:ascii="宋体" w:hAnsi="宋体" w:eastAsia="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default" w:ascii="宋体" w:hAnsi="宋体" w:eastAsia="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乙酰甲胺磷含量大于等于1%，低毒，高效。灭效高，经济、方便的灭蟑毒饵（5997户药物发放，每户2包）</w:t>
            </w:r>
          </w:p>
        </w:tc>
        <w:tc>
          <w:tcPr>
            <w:tcW w:w="757" w:type="dxa"/>
            <w:tcBorders>
              <w:left w:val="single" w:color="auto" w:sz="4" w:space="0"/>
            </w:tcBorders>
            <w:noWrap w:val="0"/>
            <w:vAlign w:val="center"/>
          </w:tcPr>
          <w:p>
            <w:pPr>
              <w:spacing w:line="300" w:lineRule="atLeast"/>
              <w:jc w:val="center"/>
              <w:rPr>
                <w:rFonts w:hint="default" w:ascii="宋体" w:hAnsi="宋体" w:eastAsia="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714" w:type="dxa"/>
            <w:noWrap w:val="0"/>
            <w:vAlign w:val="center"/>
          </w:tcPr>
          <w:p>
            <w:pPr>
              <w:spacing w:line="300" w:lineRule="atLeas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4</w:t>
            </w:r>
          </w:p>
        </w:tc>
        <w:tc>
          <w:tcPr>
            <w:tcW w:w="1330" w:type="dxa"/>
            <w:vMerge w:val="continue"/>
            <w:noWrap w:val="0"/>
            <w:vAlign w:val="center"/>
          </w:tcPr>
          <w:p>
            <w:pPr>
              <w:spacing w:line="300" w:lineRule="atLeast"/>
              <w:ind w:right="60" w:rightChars="0"/>
              <w:jc w:val="center"/>
              <w:rPr>
                <w:rFonts w:hint="eastAsia" w:ascii="宋体" w:hAnsi="宋体" w:cs="Arial"/>
                <w:color w:val="auto"/>
                <w:sz w:val="22"/>
                <w:szCs w:val="22"/>
                <w:highlight w:val="none"/>
              </w:rPr>
            </w:pPr>
          </w:p>
        </w:tc>
        <w:tc>
          <w:tcPr>
            <w:tcW w:w="1259" w:type="dxa"/>
            <w:noWrap w:val="0"/>
            <w:vAlign w:val="center"/>
          </w:tcPr>
          <w:p>
            <w:pPr>
              <w:spacing w:line="30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陶瓷毒鼠站</w:t>
            </w:r>
          </w:p>
        </w:tc>
        <w:tc>
          <w:tcPr>
            <w:tcW w:w="1139" w:type="dxa"/>
            <w:noWrap w:val="0"/>
            <w:vAlign w:val="center"/>
          </w:tcPr>
          <w:p>
            <w:pPr>
              <w:spacing w:line="300" w:lineRule="atLeas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300*115*110mm</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600只</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侧面直角扇形，用于重点单位、外环境安装</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w:t>
            </w:r>
          </w:p>
        </w:tc>
        <w:tc>
          <w:tcPr>
            <w:tcW w:w="1330" w:type="dxa"/>
            <w:vMerge w:val="continue"/>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p>
        </w:tc>
        <w:tc>
          <w:tcPr>
            <w:tcW w:w="1259" w:type="dxa"/>
            <w:noWrap w:val="0"/>
            <w:vAlign w:val="center"/>
          </w:tcPr>
          <w:p>
            <w:pPr>
              <w:spacing w:line="300" w:lineRule="atLeas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15%残杀威.右旋苯醚氰菊酯乳油</w:t>
            </w:r>
          </w:p>
        </w:tc>
        <w:tc>
          <w:tcPr>
            <w:tcW w:w="1139" w:type="dxa"/>
            <w:noWrap w:val="0"/>
            <w:vAlign w:val="center"/>
          </w:tcPr>
          <w:p>
            <w:pPr>
              <w:spacing w:line="300" w:lineRule="atLeast"/>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1000ml*10瓶/箱</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80公斤</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50-80倍稀释灭蟑，外环境灭蚊蝇特效药</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6</w:t>
            </w:r>
          </w:p>
        </w:tc>
        <w:tc>
          <w:tcPr>
            <w:tcW w:w="1330" w:type="dxa"/>
            <w:vMerge w:val="restart"/>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r>
              <w:rPr>
                <w:rFonts w:hint="eastAsia" w:ascii="宋体" w:hAnsi="宋体" w:cs="Arial"/>
                <w:color w:val="auto"/>
                <w:sz w:val="22"/>
                <w:szCs w:val="22"/>
                <w:highlight w:val="none"/>
                <w:lang w:val="en-US" w:eastAsia="zh-CN"/>
              </w:rPr>
              <w:t>下水道热烟雾灭蟑（灭蚊、蝇）消杀</w:t>
            </w:r>
          </w:p>
        </w:tc>
        <w:tc>
          <w:tcPr>
            <w:tcW w:w="125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0.005%溴鼠灵</w:t>
            </w:r>
          </w:p>
        </w:tc>
        <w:tc>
          <w:tcPr>
            <w:tcW w:w="113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蜡丸、蜡块500克/袋</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1.45吨</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有效成分抗凝血杀鼠剂溴鼠灵含量0.005%，适口性良好，防霉防虫，浸泡水中8小时不分解，颗粒结实不松散</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7</w:t>
            </w:r>
          </w:p>
        </w:tc>
        <w:tc>
          <w:tcPr>
            <w:tcW w:w="1330" w:type="dxa"/>
            <w:vMerge w:val="continue"/>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p>
        </w:tc>
        <w:tc>
          <w:tcPr>
            <w:tcW w:w="125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1%高效氯氰菊酯烟雾剂</w:t>
            </w:r>
          </w:p>
        </w:tc>
        <w:tc>
          <w:tcPr>
            <w:tcW w:w="113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乳油5公斤/桶</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80公斤</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1%高效氯氰菊酯烟雾剂</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8</w:t>
            </w:r>
          </w:p>
        </w:tc>
        <w:tc>
          <w:tcPr>
            <w:tcW w:w="1330" w:type="dxa"/>
            <w:vMerge w:val="continue"/>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p>
        </w:tc>
        <w:tc>
          <w:tcPr>
            <w:tcW w:w="1259" w:type="dxa"/>
            <w:noWrap w:val="0"/>
            <w:vAlign w:val="center"/>
          </w:tcPr>
          <w:p>
            <w:pPr>
              <w:spacing w:line="300" w:lineRule="atLeas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12%高效氯氰.毒死蜱</w:t>
            </w:r>
          </w:p>
        </w:tc>
        <w:tc>
          <w:tcPr>
            <w:tcW w:w="113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乳油1000毫升</w:t>
            </w:r>
          </w:p>
        </w:tc>
        <w:tc>
          <w:tcPr>
            <w:tcW w:w="872"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80公斤</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12%高效氯氰.毒死蜱</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9</w:t>
            </w:r>
          </w:p>
        </w:tc>
        <w:tc>
          <w:tcPr>
            <w:tcW w:w="1330" w:type="dxa"/>
            <w:vMerge w:val="continue"/>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p>
        </w:tc>
        <w:tc>
          <w:tcPr>
            <w:tcW w:w="125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5%倍硫磷颗粒剂</w:t>
            </w:r>
          </w:p>
        </w:tc>
        <w:tc>
          <w:tcPr>
            <w:tcW w:w="113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缓释颗粒剂500克*20包</w:t>
            </w:r>
          </w:p>
        </w:tc>
        <w:tc>
          <w:tcPr>
            <w:tcW w:w="872"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80公斤</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外环境杀蚊蝇幼虫</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10</w:t>
            </w:r>
          </w:p>
        </w:tc>
        <w:tc>
          <w:tcPr>
            <w:tcW w:w="1330" w:type="dxa"/>
            <w:vMerge w:val="continue"/>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p>
        </w:tc>
        <w:tc>
          <w:tcPr>
            <w:tcW w:w="1259"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1001TU/UL球形芽孢杆菌</w:t>
            </w:r>
          </w:p>
        </w:tc>
        <w:tc>
          <w:tcPr>
            <w:tcW w:w="1139"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生物制剂</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50公斤</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用于河道、水池、鱼池微生物水体杀孑孓</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11</w:t>
            </w:r>
          </w:p>
        </w:tc>
        <w:tc>
          <w:tcPr>
            <w:tcW w:w="2589" w:type="dxa"/>
            <w:gridSpan w:val="2"/>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灭蝇条、纸</w:t>
            </w:r>
          </w:p>
        </w:tc>
        <w:tc>
          <w:tcPr>
            <w:tcW w:w="1139"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钱潮日化</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1000张</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用于蝇类密度检测，菜场、六小单位等重点场所灭蝇</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12</w:t>
            </w:r>
          </w:p>
        </w:tc>
        <w:tc>
          <w:tcPr>
            <w:tcW w:w="2589" w:type="dxa"/>
            <w:gridSpan w:val="2"/>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捕蝇笼</w:t>
            </w:r>
          </w:p>
        </w:tc>
        <w:tc>
          <w:tcPr>
            <w:tcW w:w="1139"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广州</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100只</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用于公厕、垃圾中转站、垃圾收集点、菜市场、单位食堂、超市等重点场所灭蝇</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13</w:t>
            </w:r>
          </w:p>
        </w:tc>
        <w:tc>
          <w:tcPr>
            <w:tcW w:w="2589" w:type="dxa"/>
            <w:gridSpan w:val="2"/>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粘蟑盒</w:t>
            </w:r>
          </w:p>
        </w:tc>
        <w:tc>
          <w:tcPr>
            <w:tcW w:w="1139"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杭州萧山</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1000张</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用于蟑螂密度检测，厨房、餐厅、食品原料库等特殊环境灭鼠</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14</w:t>
            </w:r>
          </w:p>
        </w:tc>
        <w:tc>
          <w:tcPr>
            <w:tcW w:w="2589" w:type="dxa"/>
            <w:gridSpan w:val="2"/>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粘鼠板</w:t>
            </w:r>
          </w:p>
        </w:tc>
        <w:tc>
          <w:tcPr>
            <w:tcW w:w="1139" w:type="dxa"/>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杭州萧山</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800张</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用于鼠类密度检测、厨房、餐厅、食品原料库</w:t>
            </w: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15</w:t>
            </w:r>
          </w:p>
        </w:tc>
        <w:tc>
          <w:tcPr>
            <w:tcW w:w="2589" w:type="dxa"/>
            <w:gridSpan w:val="2"/>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s="Arial"/>
                <w:color w:val="auto"/>
                <w:sz w:val="22"/>
                <w:szCs w:val="22"/>
                <w:highlight w:val="none"/>
                <w:lang w:val="en-US" w:eastAsia="zh-CN"/>
              </w:rPr>
              <w:t>太阳能景观式灭蚊灯（HP-ST1001）</w:t>
            </w:r>
          </w:p>
        </w:tc>
        <w:tc>
          <w:tcPr>
            <w:tcW w:w="1139" w:type="dxa"/>
            <w:noWrap w:val="0"/>
            <w:vAlign w:val="center"/>
          </w:tcPr>
          <w:p>
            <w:pPr>
              <w:spacing w:line="300" w:lineRule="atLeast"/>
              <w:jc w:val="center"/>
              <w:rPr>
                <w:rFonts w:hint="eastAsia" w:ascii="宋体" w:hAnsi="宋体"/>
                <w:color w:val="auto"/>
                <w:sz w:val="22"/>
                <w:szCs w:val="22"/>
                <w:highlight w:val="none"/>
                <w:lang w:val="en-US" w:eastAsia="zh-CN"/>
              </w:rPr>
            </w:pP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12盏</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16</w:t>
            </w:r>
          </w:p>
        </w:tc>
        <w:tc>
          <w:tcPr>
            <w:tcW w:w="1330" w:type="dxa"/>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r>
              <w:rPr>
                <w:rFonts w:hint="eastAsia" w:ascii="宋体" w:hAnsi="宋体" w:cs="Arial"/>
                <w:color w:val="auto"/>
                <w:sz w:val="22"/>
                <w:szCs w:val="22"/>
                <w:highlight w:val="none"/>
                <w:lang w:val="en-US" w:eastAsia="zh-CN"/>
              </w:rPr>
              <w:t>病媒生物密度检测</w:t>
            </w:r>
          </w:p>
        </w:tc>
        <w:tc>
          <w:tcPr>
            <w:tcW w:w="2398" w:type="dxa"/>
            <w:gridSpan w:val="2"/>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东南西北中五个监测点</w:t>
            </w:r>
          </w:p>
        </w:tc>
        <w:tc>
          <w:tcPr>
            <w:tcW w:w="872"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5个</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14" w:type="dxa"/>
            <w:noWrap w:val="0"/>
            <w:vAlign w:val="center"/>
          </w:tcPr>
          <w:p>
            <w:pPr>
              <w:spacing w:line="300" w:lineRule="atLeast"/>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17</w:t>
            </w:r>
          </w:p>
        </w:tc>
        <w:tc>
          <w:tcPr>
            <w:tcW w:w="1330" w:type="dxa"/>
            <w:noWrap w:val="0"/>
            <w:vAlign w:val="center"/>
          </w:tcPr>
          <w:p>
            <w:pPr>
              <w:spacing w:line="300" w:lineRule="atLeast"/>
              <w:ind w:right="60" w:rightChars="0"/>
              <w:jc w:val="center"/>
              <w:rPr>
                <w:rFonts w:hint="eastAsia" w:ascii="宋体" w:hAnsi="宋体" w:cs="Arial"/>
                <w:color w:val="auto"/>
                <w:sz w:val="22"/>
                <w:szCs w:val="22"/>
                <w:highlight w:val="none"/>
                <w:lang w:val="en-US" w:eastAsia="zh-CN"/>
              </w:rPr>
            </w:pPr>
            <w:r>
              <w:rPr>
                <w:rFonts w:hint="eastAsia" w:ascii="宋体" w:hAnsi="宋体" w:cs="Arial"/>
                <w:color w:val="auto"/>
                <w:sz w:val="22"/>
                <w:szCs w:val="22"/>
                <w:highlight w:val="none"/>
                <w:lang w:val="en-US" w:eastAsia="zh-CN"/>
              </w:rPr>
              <w:t>消杀费</w:t>
            </w:r>
          </w:p>
        </w:tc>
        <w:tc>
          <w:tcPr>
            <w:tcW w:w="3270" w:type="dxa"/>
            <w:gridSpan w:val="3"/>
            <w:noWrap w:val="0"/>
            <w:vAlign w:val="center"/>
          </w:tcPr>
          <w:p>
            <w:pPr>
              <w:spacing w:line="300" w:lineRule="atLeast"/>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建城区十小单位等重点单位消杀</w:t>
            </w:r>
          </w:p>
        </w:tc>
        <w:tc>
          <w:tcPr>
            <w:tcW w:w="525" w:type="dxa"/>
            <w:tcBorders>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834"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2545" w:type="dxa"/>
            <w:tcBorders>
              <w:left w:val="single" w:color="auto" w:sz="4" w:space="0"/>
              <w:righ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c>
          <w:tcPr>
            <w:tcW w:w="757" w:type="dxa"/>
            <w:tcBorders>
              <w:left w:val="single" w:color="auto" w:sz="4" w:space="0"/>
            </w:tcBorders>
            <w:noWrap w:val="0"/>
            <w:vAlign w:val="center"/>
          </w:tcPr>
          <w:p>
            <w:pPr>
              <w:spacing w:line="300" w:lineRule="atLeast"/>
              <w:jc w:val="center"/>
              <w:rPr>
                <w:rFonts w:hint="eastAsia" w:ascii="宋体" w:hAnsi="宋体"/>
                <w:color w:val="auto"/>
                <w:sz w:val="22"/>
                <w:szCs w:val="22"/>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2044" w:type="dxa"/>
            <w:gridSpan w:val="2"/>
            <w:noWrap w:val="0"/>
            <w:vAlign w:val="center"/>
          </w:tcPr>
          <w:p>
            <w:pPr>
              <w:spacing w:line="300" w:lineRule="atLeast"/>
              <w:ind w:right="60"/>
              <w:jc w:val="center"/>
              <w:rPr>
                <w:rFonts w:hint="eastAsia" w:ascii="宋体" w:hAnsi="宋体" w:eastAsia="宋体" w:cs="Arial"/>
                <w:color w:val="auto"/>
                <w:sz w:val="22"/>
                <w:szCs w:val="22"/>
                <w:highlight w:val="none"/>
                <w:lang w:eastAsia="zh-CN"/>
              </w:rPr>
            </w:pPr>
            <w:r>
              <w:rPr>
                <w:rFonts w:hint="eastAsia" w:ascii="宋体" w:hAnsi="宋体" w:cs="Arial"/>
                <w:color w:val="auto"/>
                <w:sz w:val="22"/>
                <w:szCs w:val="22"/>
                <w:highlight w:val="none"/>
                <w:lang w:eastAsia="zh-CN"/>
              </w:rPr>
              <w:t>合计（一</w:t>
            </w:r>
            <w:r>
              <w:rPr>
                <w:rFonts w:hint="eastAsia" w:ascii="宋体" w:hAnsi="宋体" w:cs="Arial"/>
                <w:color w:val="auto"/>
                <w:sz w:val="22"/>
                <w:szCs w:val="22"/>
                <w:highlight w:val="none"/>
                <w:lang w:val="en-US" w:eastAsia="zh-CN"/>
              </w:rPr>
              <w:t>+二+三</w:t>
            </w:r>
            <w:r>
              <w:rPr>
                <w:rFonts w:hint="eastAsia" w:ascii="宋体" w:hAnsi="宋体" w:cs="Arial"/>
                <w:color w:val="auto"/>
                <w:sz w:val="22"/>
                <w:szCs w:val="22"/>
                <w:highlight w:val="none"/>
                <w:lang w:eastAsia="zh-CN"/>
              </w:rPr>
              <w:t>）</w:t>
            </w:r>
          </w:p>
        </w:tc>
        <w:tc>
          <w:tcPr>
            <w:tcW w:w="3270" w:type="dxa"/>
            <w:gridSpan w:val="3"/>
            <w:noWrap w:val="0"/>
            <w:vAlign w:val="center"/>
          </w:tcPr>
          <w:p>
            <w:pPr>
              <w:spacing w:line="300" w:lineRule="atLeast"/>
              <w:rPr>
                <w:rFonts w:hint="eastAsia" w:ascii="宋体" w:hAnsi="宋体"/>
                <w:color w:val="auto"/>
                <w:sz w:val="22"/>
                <w:szCs w:val="22"/>
                <w:highlight w:val="none"/>
              </w:rPr>
            </w:pPr>
          </w:p>
        </w:tc>
        <w:tc>
          <w:tcPr>
            <w:tcW w:w="4661" w:type="dxa"/>
            <w:gridSpan w:val="4"/>
            <w:noWrap w:val="0"/>
            <w:vAlign w:val="center"/>
          </w:tcPr>
          <w:p>
            <w:pPr>
              <w:spacing w:line="300" w:lineRule="atLeast"/>
              <w:rPr>
                <w:rFonts w:hint="eastAsia" w:ascii="宋体" w:hAnsi="宋体"/>
                <w:color w:val="auto"/>
                <w:sz w:val="22"/>
                <w:szCs w:val="22"/>
                <w:highlight w:val="none"/>
              </w:rPr>
            </w:pPr>
          </w:p>
        </w:tc>
      </w:tr>
    </w:tbl>
    <w:p>
      <w:pPr>
        <w:pStyle w:val="36"/>
        <w:spacing w:before="0" w:after="0" w:line="240" w:lineRule="exact"/>
        <w:jc w:val="both"/>
        <w:rPr>
          <w:rFonts w:hint="default" w:ascii="Times New Roman" w:hAnsi="Times New Roman" w:cs="Times New Roman"/>
          <w:b w:val="0"/>
          <w:bCs w:val="0"/>
          <w:color w:val="auto"/>
          <w:sz w:val="21"/>
          <w:szCs w:val="21"/>
          <w:highlight w:val="none"/>
        </w:rPr>
      </w:pP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注: 1、投标报价一经涂改，应在涂改处加盖单位公章或者由法定代表人或授权委托人签字或盖章，否则其投标作无效标处理。</w:t>
      </w:r>
    </w:p>
    <w:p>
      <w:pPr>
        <w:adjustRightInd w:val="0"/>
        <w:snapToGri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的投标总价包括提供除四害服务所需的药品的采购和运输、装卸费、一切人员工资、奖金、各种加班费、餐费、食宿与交通、服装、安全、管理费用、验收费、检测费、保险费、税费、利润、消杀服务及售后服务费用等完成合同所需的一切本身和不可或缺的所有工作开支、政策性文件规定及合同包含的所有风险、责任等各项全部费用并承担一切风险责任。清单内容由投标人自行补充</w:t>
      </w:r>
      <w:r>
        <w:rPr>
          <w:rFonts w:hint="eastAsia" w:ascii="宋体" w:hAnsi="宋体"/>
          <w:color w:val="auto"/>
          <w:sz w:val="24"/>
          <w:szCs w:val="24"/>
          <w:highlight w:val="none"/>
          <w:lang w:eastAsia="zh-CN"/>
        </w:rPr>
        <w:t>。</w:t>
      </w:r>
    </w:p>
    <w:p>
      <w:pPr>
        <w:adjustRightInd w:val="0"/>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3、辖区内行政村12个（约6000户）居民。</w:t>
      </w:r>
      <w:r>
        <w:rPr>
          <w:rFonts w:hint="eastAsia" w:ascii="宋体" w:hAnsi="宋体"/>
          <w:color w:val="auto"/>
          <w:sz w:val="24"/>
          <w:szCs w:val="24"/>
          <w:highlight w:val="none"/>
        </w:rPr>
        <w:t xml:space="preserve">     </w:t>
      </w:r>
    </w:p>
    <w:p>
      <w:pPr>
        <w:adjustRightInd w:val="0"/>
        <w:snapToGrid w:val="0"/>
        <w:spacing w:line="440" w:lineRule="exact"/>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法定代表人或授权代表（签字或盖章）：     </w:t>
      </w:r>
    </w:p>
    <w:p>
      <w:pPr>
        <w:adjustRightInd w:val="0"/>
        <w:snapToGrid w:val="0"/>
        <w:spacing w:line="440" w:lineRule="exact"/>
        <w:rPr>
          <w:rFonts w:hint="eastAsia" w:ascii="宋体" w:hAnsi="宋体"/>
          <w:color w:val="auto"/>
          <w:sz w:val="24"/>
          <w:szCs w:val="24"/>
          <w:highlight w:val="none"/>
        </w:rPr>
      </w:pPr>
      <w:r>
        <w:rPr>
          <w:rFonts w:hint="eastAsia" w:ascii="宋体" w:hAnsi="宋体"/>
          <w:b/>
          <w:bCs/>
          <w:color w:val="auto"/>
          <w:sz w:val="24"/>
          <w:szCs w:val="24"/>
          <w:highlight w:val="none"/>
        </w:rPr>
        <w:t xml:space="preserve">       </w:t>
      </w: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投标人名称（盖章）：             </w:t>
      </w:r>
    </w:p>
    <w:p>
      <w:pPr>
        <w:adjustRightInd w:val="0"/>
        <w:snapToGrid w:val="0"/>
        <w:spacing w:line="440" w:lineRule="exact"/>
        <w:rPr>
          <w:rFonts w:hint="eastAsia" w:ascii="宋体" w:hAnsi="宋体"/>
          <w:color w:val="auto"/>
          <w:sz w:val="24"/>
          <w:szCs w:val="24"/>
          <w:highlight w:val="none"/>
        </w:rPr>
      </w:pPr>
    </w:p>
    <w:p>
      <w:pPr>
        <w:adjustRightInd w:val="0"/>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日期：    年   月   日</w:t>
      </w:r>
    </w:p>
    <w:p>
      <w:pPr>
        <w:pStyle w:val="36"/>
        <w:jc w:val="both"/>
        <w:rPr>
          <w:rFonts w:hint="default" w:ascii="Times New Roman" w:hAnsi="Times New Roman" w:cs="Times New Roman"/>
          <w:b w:val="0"/>
          <w:bCs w:val="0"/>
          <w:color w:val="auto"/>
          <w:sz w:val="24"/>
          <w:szCs w:val="24"/>
          <w:highlight w:val="none"/>
        </w:rPr>
        <w:sectPr>
          <w:footnotePr>
            <w:numRestart w:val="eachPage"/>
          </w:footnotePr>
          <w:endnotePr>
            <w:numRestart w:val="eachSect"/>
          </w:endnotePr>
          <w:pgSz w:w="11907" w:h="16840"/>
          <w:pgMar w:top="1701" w:right="1701" w:bottom="1701" w:left="1701" w:header="851" w:footer="992" w:gutter="0"/>
          <w:pgBorders>
            <w:top w:val="none" w:sz="0" w:space="0"/>
            <w:left w:val="none" w:sz="0" w:space="0"/>
            <w:bottom w:val="none" w:sz="0" w:space="0"/>
            <w:right w:val="none" w:sz="0" w:space="0"/>
          </w:pgBorders>
          <w:pgNumType w:fmt="decimal"/>
          <w:cols w:space="720" w:num="1"/>
          <w:docGrid w:linePitch="435" w:charSpace="-6554"/>
        </w:sectPr>
      </w:pPr>
    </w:p>
    <w:p>
      <w:pPr>
        <w:spacing w:line="360" w:lineRule="auto"/>
        <w:jc w:val="center"/>
        <w:rPr>
          <w:rFonts w:hint="eastAsia" w:ascii="宋体" w:hAnsi="宋体"/>
          <w:color w:val="auto"/>
          <w:szCs w:val="21"/>
          <w:highlight w:val="none"/>
        </w:rPr>
      </w:pPr>
      <w:r>
        <w:rPr>
          <w:rFonts w:hint="eastAsia" w:cs="Arial"/>
          <w:color w:val="auto"/>
          <w:sz w:val="32"/>
          <w:szCs w:val="32"/>
          <w:highlight w:val="none"/>
          <w:u w:val="single"/>
          <w:lang w:eastAsia="zh-CN"/>
        </w:rPr>
        <w:t>2020</w:t>
      </w:r>
      <w:r>
        <w:rPr>
          <w:rFonts w:hint="eastAsia" w:cs="Arial"/>
          <w:color w:val="auto"/>
          <w:sz w:val="32"/>
          <w:szCs w:val="32"/>
          <w:highlight w:val="none"/>
          <w:u w:val="single"/>
        </w:rPr>
        <w:t>年</w:t>
      </w:r>
      <w:r>
        <w:rPr>
          <w:rFonts w:hint="eastAsia" w:cs="Arial"/>
          <w:color w:val="auto"/>
          <w:sz w:val="32"/>
          <w:szCs w:val="32"/>
          <w:highlight w:val="none"/>
          <w:u w:val="single"/>
          <w:lang w:eastAsia="zh-CN"/>
        </w:rPr>
        <w:t>芦浦</w:t>
      </w:r>
      <w:r>
        <w:rPr>
          <w:rFonts w:hint="eastAsia" w:cs="Arial"/>
          <w:color w:val="auto"/>
          <w:sz w:val="32"/>
          <w:szCs w:val="32"/>
          <w:highlight w:val="none"/>
          <w:u w:val="single"/>
        </w:rPr>
        <w:t>镇</w:t>
      </w:r>
      <w:r>
        <w:rPr>
          <w:rFonts w:hint="eastAsia" w:cs="Arial"/>
          <w:color w:val="auto"/>
          <w:sz w:val="32"/>
          <w:szCs w:val="32"/>
          <w:highlight w:val="none"/>
          <w:u w:val="single"/>
          <w:lang w:eastAsia="zh-CN"/>
        </w:rPr>
        <w:t>创建</w:t>
      </w:r>
      <w:r>
        <w:rPr>
          <w:rFonts w:hint="eastAsia" w:cs="Arial"/>
          <w:color w:val="auto"/>
          <w:sz w:val="32"/>
          <w:szCs w:val="32"/>
          <w:highlight w:val="none"/>
          <w:u w:val="single"/>
        </w:rPr>
        <w:t>国家卫生镇病媒生物防治项目</w:t>
      </w:r>
    </w:p>
    <w:p>
      <w:pPr>
        <w:spacing w:line="360" w:lineRule="auto"/>
        <w:jc w:val="center"/>
        <w:rPr>
          <w:rFonts w:hint="eastAsia" w:ascii="宋体" w:hAnsi="宋体"/>
          <w:b/>
          <w:color w:val="auto"/>
          <w:sz w:val="72"/>
          <w:szCs w:val="72"/>
          <w:highlight w:val="none"/>
        </w:rPr>
      </w:pPr>
      <w:r>
        <w:rPr>
          <w:rFonts w:hint="eastAsia" w:ascii="宋体" w:hAnsi="宋体"/>
          <w:b/>
          <w:color w:val="auto"/>
          <w:sz w:val="72"/>
          <w:szCs w:val="72"/>
          <w:highlight w:val="none"/>
        </w:rPr>
        <w:t>投 标 文 件</w:t>
      </w:r>
    </w:p>
    <w:p>
      <w:pPr>
        <w:spacing w:line="440" w:lineRule="exact"/>
        <w:jc w:val="center"/>
        <w:rPr>
          <w:rFonts w:hint="eastAsia" w:ascii="宋体" w:hAnsi="宋体"/>
          <w:color w:val="auto"/>
          <w:sz w:val="44"/>
          <w:szCs w:val="44"/>
          <w:highlight w:val="none"/>
        </w:rPr>
      </w:pPr>
      <w:r>
        <w:rPr>
          <w:rFonts w:hint="eastAsia" w:ascii="宋体" w:hAnsi="宋体"/>
          <w:color w:val="auto"/>
          <w:sz w:val="44"/>
          <w:szCs w:val="44"/>
          <w:highlight w:val="none"/>
        </w:rPr>
        <w:t>（</w:t>
      </w:r>
      <w:r>
        <w:rPr>
          <w:rFonts w:hint="eastAsia" w:ascii="宋体" w:hAnsi="宋体"/>
          <w:color w:val="auto"/>
          <w:sz w:val="44"/>
          <w:szCs w:val="44"/>
          <w:highlight w:val="none"/>
          <w:lang w:eastAsia="zh-CN"/>
        </w:rPr>
        <w:t>资信技术</w:t>
      </w:r>
      <w:r>
        <w:rPr>
          <w:rFonts w:hint="eastAsia" w:ascii="宋体" w:hAnsi="宋体"/>
          <w:color w:val="auto"/>
          <w:sz w:val="44"/>
          <w:szCs w:val="44"/>
          <w:highlight w:val="none"/>
        </w:rPr>
        <w:t>标）</w:t>
      </w: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24"/>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jc w:val="center"/>
        <w:rPr>
          <w:rFonts w:hint="eastAsia" w:ascii="宋体" w:hAnsi="宋体"/>
          <w:color w:val="auto"/>
          <w:sz w:val="30"/>
          <w:szCs w:val="30"/>
          <w:highlight w:val="none"/>
        </w:rPr>
      </w:pPr>
    </w:p>
    <w:p>
      <w:pPr>
        <w:spacing w:line="440" w:lineRule="exact"/>
        <w:ind w:firstLine="900" w:firstLineChars="300"/>
        <w:jc w:val="left"/>
        <w:rPr>
          <w:rFonts w:hint="eastAsia" w:ascii="宋体" w:hAnsi="宋体"/>
          <w:color w:val="auto"/>
          <w:sz w:val="30"/>
          <w:szCs w:val="30"/>
          <w:highlight w:val="none"/>
        </w:rPr>
      </w:pPr>
      <w:r>
        <w:rPr>
          <w:rFonts w:hint="eastAsia" w:ascii="宋体" w:hAnsi="宋体"/>
          <w:color w:val="auto"/>
          <w:sz w:val="30"/>
          <w:szCs w:val="30"/>
          <w:highlight w:val="none"/>
        </w:rPr>
        <w:t>标函</w:t>
      </w:r>
      <w:r>
        <w:rPr>
          <w:rFonts w:ascii="宋体" w:hAnsi="宋体"/>
          <w:color w:val="auto"/>
          <w:sz w:val="30"/>
          <w:szCs w:val="30"/>
          <w:highlight w:val="none"/>
        </w:rPr>
        <w:t>名称：</w:t>
      </w:r>
      <w:r>
        <w:rPr>
          <w:rFonts w:hint="eastAsia" w:ascii="宋体" w:hAnsi="宋体"/>
          <w:color w:val="auto"/>
          <w:sz w:val="30"/>
          <w:szCs w:val="30"/>
          <w:highlight w:val="none"/>
          <w:u w:val="single"/>
        </w:rPr>
        <w:t xml:space="preserve">                              </w:t>
      </w:r>
      <w:r>
        <w:rPr>
          <w:rFonts w:ascii="宋体" w:hAnsi="宋体"/>
          <w:color w:val="auto"/>
          <w:sz w:val="30"/>
          <w:szCs w:val="30"/>
          <w:highlight w:val="none"/>
          <w:u w:val="single"/>
        </w:rPr>
        <w:t xml:space="preserve">  </w:t>
      </w:r>
    </w:p>
    <w:p>
      <w:pPr>
        <w:spacing w:line="440" w:lineRule="exact"/>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投 标 人：</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（公章）</w:t>
      </w:r>
    </w:p>
    <w:p>
      <w:pPr>
        <w:spacing w:line="440" w:lineRule="exact"/>
        <w:ind w:firstLine="900" w:firstLineChars="300"/>
        <w:rPr>
          <w:rFonts w:hint="eastAsia" w:ascii="宋体" w:hAnsi="宋体"/>
          <w:color w:val="auto"/>
          <w:sz w:val="30"/>
          <w:szCs w:val="30"/>
          <w:highlight w:val="none"/>
        </w:rPr>
      </w:pPr>
    </w:p>
    <w:p>
      <w:pPr>
        <w:spacing w:line="440" w:lineRule="exact"/>
        <w:ind w:firstLine="900" w:firstLineChars="300"/>
        <w:rPr>
          <w:rFonts w:hint="eastAsia" w:ascii="宋体" w:hAnsi="宋体"/>
          <w:color w:val="auto"/>
          <w:sz w:val="30"/>
          <w:szCs w:val="30"/>
          <w:highlight w:val="none"/>
        </w:rPr>
      </w:pPr>
      <w:r>
        <w:rPr>
          <w:rFonts w:hint="eastAsia" w:ascii="宋体" w:hAnsi="宋体"/>
          <w:color w:val="auto"/>
          <w:sz w:val="30"/>
          <w:szCs w:val="30"/>
          <w:highlight w:val="none"/>
        </w:rPr>
        <w:t>法定代表人或其授权委托代理人（签字或盖章）：</w:t>
      </w:r>
      <w:r>
        <w:rPr>
          <w:rFonts w:hint="eastAsia" w:ascii="宋体" w:hAnsi="宋体"/>
          <w:color w:val="auto"/>
          <w:sz w:val="30"/>
          <w:szCs w:val="30"/>
          <w:highlight w:val="none"/>
          <w:u w:val="single"/>
        </w:rPr>
        <w:t xml:space="preserve">        </w:t>
      </w:r>
    </w:p>
    <w:p>
      <w:pPr>
        <w:spacing w:line="440" w:lineRule="exact"/>
        <w:ind w:firstLine="3750" w:firstLineChars="1250"/>
        <w:rPr>
          <w:rFonts w:hint="eastAsia" w:ascii="宋体" w:hAnsi="宋体"/>
          <w:color w:val="auto"/>
          <w:sz w:val="30"/>
          <w:szCs w:val="30"/>
          <w:highlight w:val="none"/>
          <w:u w:val="single"/>
        </w:rPr>
      </w:pPr>
    </w:p>
    <w:p>
      <w:pPr>
        <w:adjustRightInd w:val="0"/>
        <w:snapToGrid w:val="0"/>
        <w:spacing w:line="440" w:lineRule="exact"/>
        <w:jc w:val="center"/>
        <w:rPr>
          <w:rFonts w:hint="eastAsia" w:ascii="宋体" w:hAnsi="宋体"/>
          <w:color w:val="auto"/>
          <w:sz w:val="30"/>
          <w:szCs w:val="30"/>
          <w:highlight w:val="none"/>
        </w:rPr>
      </w:pP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年</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月</w:t>
      </w:r>
      <w:r>
        <w:rPr>
          <w:rFonts w:hint="eastAsia" w:ascii="宋体" w:hAnsi="宋体"/>
          <w:color w:val="auto"/>
          <w:sz w:val="30"/>
          <w:szCs w:val="30"/>
          <w:highlight w:val="none"/>
          <w:u w:val="single"/>
        </w:rPr>
        <w:t xml:space="preserve">   </w:t>
      </w:r>
      <w:r>
        <w:rPr>
          <w:rFonts w:hint="eastAsia" w:ascii="宋体" w:hAnsi="宋体"/>
          <w:color w:val="auto"/>
          <w:sz w:val="30"/>
          <w:szCs w:val="30"/>
          <w:highlight w:val="none"/>
        </w:rPr>
        <w:t>日</w:t>
      </w:r>
    </w:p>
    <w:p>
      <w:pPr>
        <w:adjustRightInd w:val="0"/>
        <w:snapToGrid w:val="0"/>
        <w:spacing w:line="440" w:lineRule="exact"/>
        <w:jc w:val="center"/>
        <w:rPr>
          <w:rFonts w:hint="eastAsia" w:ascii="宋体" w:hAnsi="宋体"/>
          <w:color w:val="auto"/>
          <w:sz w:val="30"/>
          <w:szCs w:val="30"/>
          <w:highlight w:val="none"/>
        </w:rPr>
      </w:pPr>
    </w:p>
    <w:p>
      <w:pPr>
        <w:pStyle w:val="36"/>
        <w:spacing w:before="0"/>
        <w:jc w:val="both"/>
        <w:rPr>
          <w:rFonts w:hint="default" w:ascii="Times New Roman" w:hAnsi="Times New Roman" w:cs="Times New Roman"/>
          <w:b w:val="0"/>
          <w:bCs w:val="0"/>
          <w:color w:val="auto"/>
          <w:sz w:val="21"/>
          <w:szCs w:val="21"/>
          <w:highlight w:val="none"/>
        </w:rPr>
        <w:sectPr>
          <w:footerReference r:id="rId8" w:type="default"/>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p>
    <w:p>
      <w:pPr>
        <w:pStyle w:val="2"/>
        <w:tabs>
          <w:tab w:val="clear" w:pos="574"/>
        </w:tabs>
        <w:spacing w:line="310" w:lineRule="exact"/>
        <w:ind w:left="-5"/>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服务技术方案；</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企业综合实力及本地化服务</w:t>
      </w:r>
      <w:r>
        <w:rPr>
          <w:rFonts w:hint="default" w:ascii="Times New Roman" w:hAnsi="Times New Roman" w:cs="Times New Roman"/>
          <w:color w:val="auto"/>
          <w:highlight w:val="none"/>
        </w:rPr>
        <w:t>；</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eastAsia="zh-CN"/>
        </w:rPr>
        <w:t>企业荣誉、业绩；</w:t>
      </w:r>
    </w:p>
    <w:p>
      <w:pPr>
        <w:pStyle w:val="2"/>
        <w:tabs>
          <w:tab w:val="clear" w:pos="574"/>
        </w:tabs>
        <w:spacing w:line="310" w:lineRule="exact"/>
        <w:ind w:left="-5"/>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详见评分细则要求，格式自拟</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）诚信投标承诺书（附件三）；</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）派驻本项目人员一览表（附件四）；</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）项目负责人简历表（附件五）；</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）法定代表人授权委托书（附件六）；</w:t>
      </w:r>
    </w:p>
    <w:p>
      <w:pPr>
        <w:pStyle w:val="2"/>
        <w:tabs>
          <w:tab w:val="clear" w:pos="574"/>
        </w:tabs>
        <w:spacing w:line="310" w:lineRule="exact"/>
        <w:ind w:left="-5"/>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）项目负责人相关证书复印件；</w:t>
      </w:r>
    </w:p>
    <w:p>
      <w:pPr>
        <w:pStyle w:val="2"/>
        <w:tabs>
          <w:tab w:val="clear" w:pos="574"/>
        </w:tabs>
        <w:spacing w:line="310" w:lineRule="exact"/>
        <w:ind w:left="-5"/>
        <w:rPr>
          <w:rFonts w:hint="default" w:ascii="Times New Roman" w:hAnsi="Times New Roman" w:cs="Times New Roman"/>
          <w:color w:val="auto"/>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9</w:t>
      </w:r>
      <w:r>
        <w:rPr>
          <w:rFonts w:hint="default" w:ascii="Times New Roman" w:hAnsi="Times New Roman" w:cs="Times New Roman"/>
          <w:color w:val="auto"/>
          <w:highlight w:val="none"/>
        </w:rPr>
        <w:t>）投标人认为要提供的其他资料。</w:t>
      </w:r>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附件三：</w:t>
      </w:r>
      <w:bookmarkEnd w:id="376"/>
      <w:bookmarkEnd w:id="377"/>
      <w:bookmarkEnd w:id="378"/>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bookmarkStart w:id="380" w:name="_Toc288213731"/>
      <w:bookmarkStart w:id="381" w:name="_Toc268120612"/>
      <w:bookmarkStart w:id="382" w:name="_Toc331149338"/>
      <w:r>
        <w:rPr>
          <w:rFonts w:hint="default" w:ascii="Times New Roman" w:hAnsi="Times New Roman" w:eastAsia="黑体" w:cs="Times New Roman"/>
          <w:bCs/>
          <w:color w:val="auto"/>
          <w:sz w:val="30"/>
          <w:szCs w:val="30"/>
          <w:highlight w:val="none"/>
        </w:rPr>
        <w:t>诚信投标承诺书</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本人以企业法定代表人的身份郑重承诺：</w:t>
      </w:r>
    </w:p>
    <w:p>
      <w:pPr>
        <w:spacing w:line="560" w:lineRule="exact"/>
        <w:ind w:firstLine="420" w:firstLineChars="200"/>
        <w:outlineLvl w:val="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一、将遵循公开、公平、公正和诚实信用的原则参加</w:t>
      </w:r>
      <w:r>
        <w:rPr>
          <w:rFonts w:hint="eastAsia" w:ascii="Times New Roman" w:hAnsi="Times New Roman" w:cs="Times New Roman"/>
          <w:color w:val="auto"/>
          <w:szCs w:val="21"/>
          <w:highlight w:val="none"/>
          <w:u w:val="single"/>
          <w:lang w:eastAsia="zh-CN"/>
        </w:rPr>
        <w:t>2020年芦浦镇创建国家卫生镇病媒生物防治项目</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（项目名称）的投标；</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二、所提供的一切材料都是真实、有效、合法的；</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三、不存在串通投标行为（包括不存在招标文件第三章“评标办法”第30.4、30.5项规定的情形）；</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四、不存在他人以本公司名义投标或者不存在以其他方式弄虚作假的行为；</w:t>
      </w:r>
    </w:p>
    <w:p>
      <w:pPr>
        <w:adjustRightInd w:val="0"/>
        <w:snapToGrid w:val="0"/>
        <w:spacing w:line="56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五、不存在向招标人或者评标小组成员行贿以牟取中标的行为。</w:t>
      </w:r>
    </w:p>
    <w:p>
      <w:pPr>
        <w:adjustRightInd w:val="0"/>
        <w:snapToGrid w:val="0"/>
        <w:spacing w:line="560" w:lineRule="exact"/>
        <w:ind w:firstLine="449" w:firstLineChars="214"/>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highlight w:val="none"/>
        </w:rPr>
      </w:pPr>
    </w:p>
    <w:p>
      <w:pPr>
        <w:adjustRightInd w:val="0"/>
        <w:snapToGrid w:val="0"/>
        <w:spacing w:line="560" w:lineRule="exact"/>
        <w:ind w:firstLine="449" w:firstLineChars="214"/>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如招标人需要调查了解的，本公司负责本次投标的主管人员将积极配合。主管人员：</w:t>
      </w:r>
      <w:r>
        <w:rPr>
          <w:rFonts w:hint="default" w:ascii="Times New Roman" w:hAnsi="Times New Roman" w:cs="Times New Roman"/>
          <w:color w:val="auto"/>
          <w:szCs w:val="21"/>
          <w:highlight w:val="none"/>
          <w:u w:val="single"/>
        </w:rPr>
        <w:t xml:space="preserve">            </w:t>
      </w:r>
      <w:r>
        <w:rPr>
          <w:rFonts w:hint="default" w:ascii="Times New Roman" w:hAnsi="Times New Roman" w:cs="Times New Roman"/>
          <w:color w:val="auto"/>
          <w:szCs w:val="21"/>
          <w:highlight w:val="none"/>
        </w:rPr>
        <w:t xml:space="preserve">      手机：</w:t>
      </w:r>
      <w:r>
        <w:rPr>
          <w:rFonts w:hint="default" w:ascii="Times New Roman" w:hAnsi="Times New Roman" w:cs="Times New Roman"/>
          <w:color w:val="auto"/>
          <w:szCs w:val="21"/>
          <w:highlight w:val="none"/>
          <w:u w:val="single"/>
        </w:rPr>
        <w:t xml:space="preserve">                </w:t>
      </w:r>
    </w:p>
    <w:p>
      <w:pPr>
        <w:adjustRightInd w:val="0"/>
        <w:snapToGrid w:val="0"/>
        <w:spacing w:line="560" w:lineRule="exact"/>
        <w:ind w:firstLine="422" w:firstLineChars="200"/>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本公司若有违反本承诺内容的行为，愿意按招标文件规定接受投标担保的处理。如已中标的，自动放弃中标资格；给招标人造成损失的，依法承担赔偿责任。</w:t>
      </w:r>
    </w:p>
    <w:p>
      <w:pPr>
        <w:pStyle w:val="2"/>
        <w:rPr>
          <w:rFonts w:hint="default" w:ascii="Times New Roman" w:hAnsi="Times New Roman" w:cs="Times New Roman"/>
          <w:color w:val="auto"/>
          <w:highlight w:val="none"/>
        </w:rPr>
      </w:pPr>
    </w:p>
    <w:p>
      <w:pPr>
        <w:spacing w:line="500" w:lineRule="exact"/>
        <w:ind w:firstLine="5040" w:firstLineChars="2100"/>
        <w:jc w:val="left"/>
        <w:rPr>
          <w:rFonts w:hint="default" w:ascii="Times New Roman" w:hAnsi="Times New Roman" w:cs="Times New Roman"/>
          <w:color w:val="auto"/>
          <w:sz w:val="24"/>
          <w:highlight w:val="none"/>
        </w:rPr>
      </w:pPr>
    </w:p>
    <w:p>
      <w:pPr>
        <w:pStyle w:val="2"/>
        <w:rPr>
          <w:rFonts w:hint="default" w:ascii="Times New Roman" w:hAnsi="Times New Roman" w:cs="Times New Roman"/>
          <w:color w:val="auto"/>
          <w:highlight w:val="none"/>
        </w:rPr>
      </w:pP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法定代表人（签字或盖章）：</w:t>
      </w:r>
    </w:p>
    <w:p>
      <w:pPr>
        <w:tabs>
          <w:tab w:val="left" w:pos="2383"/>
        </w:tabs>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投标人（盖章）：</w:t>
      </w:r>
    </w:p>
    <w:p>
      <w:pPr>
        <w:spacing w:line="500" w:lineRule="exact"/>
        <w:ind w:firstLine="5258" w:firstLineChars="2504"/>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日期：      年     月     日</w:t>
      </w:r>
    </w:p>
    <w:p>
      <w:pPr>
        <w:pStyle w:val="36"/>
        <w:spacing w:line="276" w:lineRule="auto"/>
        <w:jc w:val="both"/>
        <w:rPr>
          <w:rFonts w:hint="default" w:ascii="Times New Roman" w:hAnsi="Times New Roman" w:cs="Times New Roman"/>
          <w:b w:val="0"/>
          <w:bCs w:val="0"/>
          <w:color w:val="auto"/>
          <w:sz w:val="28"/>
          <w:szCs w:val="28"/>
          <w:highlight w:val="none"/>
        </w:rPr>
      </w:pPr>
      <w:bookmarkStart w:id="383" w:name="_Toc427131749"/>
      <w:bookmarkStart w:id="384" w:name="_Toc427133012"/>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line="276" w:lineRule="auto"/>
        <w:jc w:val="both"/>
        <w:rPr>
          <w:rFonts w:hint="default" w:ascii="Times New Roman" w:hAnsi="Times New Roman" w:cs="Times New Roman"/>
          <w:b w:val="0"/>
          <w:bCs w:val="0"/>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pPr>
      <w:bookmarkStart w:id="385" w:name="_Toc15768_WPSOffice_Level1"/>
      <w:bookmarkStart w:id="386" w:name="_Toc12934_WPSOffice_Level1"/>
      <w:bookmarkStart w:id="387" w:name="_Toc14400"/>
    </w:p>
    <w:p>
      <w:pPr>
        <w:pStyle w:val="36"/>
        <w:spacing w:before="0"/>
        <w:jc w:val="both"/>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附件</w:t>
      </w:r>
      <w:bookmarkEnd w:id="380"/>
      <w:bookmarkEnd w:id="381"/>
      <w:r>
        <w:rPr>
          <w:rFonts w:hint="default" w:ascii="Times New Roman" w:hAnsi="Times New Roman" w:cs="Times New Roman"/>
          <w:b w:val="0"/>
          <w:bCs w:val="0"/>
          <w:color w:val="auto"/>
          <w:sz w:val="21"/>
          <w:szCs w:val="21"/>
          <w:highlight w:val="none"/>
        </w:rPr>
        <w:t>四：</w:t>
      </w:r>
      <w:bookmarkEnd w:id="382"/>
      <w:bookmarkEnd w:id="383"/>
      <w:bookmarkEnd w:id="384"/>
      <w:bookmarkEnd w:id="385"/>
      <w:bookmarkEnd w:id="386"/>
      <w:bookmarkEnd w:id="387"/>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2020年芦浦镇创建国家卫生镇病媒生物防治项目</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派驻本项目人员一览表</w:t>
      </w:r>
    </w:p>
    <w:tbl>
      <w:tblPr>
        <w:tblStyle w:val="37"/>
        <w:tblW w:w="8398"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740"/>
        <w:gridCol w:w="1980"/>
        <w:gridCol w:w="2025"/>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1333"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职务</w:t>
            </w:r>
          </w:p>
        </w:tc>
        <w:tc>
          <w:tcPr>
            <w:tcW w:w="174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姓名</w:t>
            </w:r>
          </w:p>
        </w:tc>
        <w:tc>
          <w:tcPr>
            <w:tcW w:w="198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在本项目担任专业工作</w:t>
            </w:r>
          </w:p>
        </w:tc>
        <w:tc>
          <w:tcPr>
            <w:tcW w:w="2025"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须提供的证书或其他证明材料</w:t>
            </w:r>
          </w:p>
        </w:tc>
        <w:tc>
          <w:tcPr>
            <w:tcW w:w="1320" w:type="dxa"/>
            <w:noWrap w:val="0"/>
            <w:vAlign w:val="center"/>
          </w:tcPr>
          <w:p>
            <w:pPr>
              <w:pStyle w:val="47"/>
              <w:spacing w:before="128"/>
              <w:ind w:left="165" w:right="156"/>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rPr>
                <w:rFonts w:hint="default" w:ascii="Times New Roman" w:hAnsi="Times New Roman" w:cs="Times New Roman"/>
                <w:color w:val="auto"/>
                <w:sz w:val="20"/>
                <w:highlight w:val="none"/>
              </w:rPr>
            </w:pPr>
          </w:p>
        </w:tc>
        <w:tc>
          <w:tcPr>
            <w:tcW w:w="2025" w:type="dxa"/>
            <w:noWrap w:val="0"/>
            <w:vAlign w:val="top"/>
          </w:tcPr>
          <w:p>
            <w:pPr>
              <w:pStyle w:val="47"/>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line="269" w:lineRule="exact"/>
              <w:ind w:right="506"/>
              <w:jc w:val="right"/>
              <w:rPr>
                <w:rFonts w:hint="default" w:ascii="Times New Roman" w:hAnsi="Times New Roman" w:cs="Times New Roman"/>
                <w:color w:val="auto"/>
                <w:highlight w:val="none"/>
              </w:rPr>
            </w:pPr>
          </w:p>
        </w:tc>
        <w:tc>
          <w:tcPr>
            <w:tcW w:w="2025" w:type="dxa"/>
            <w:noWrap w:val="0"/>
            <w:vAlign w:val="top"/>
          </w:tcPr>
          <w:p>
            <w:pPr>
              <w:pStyle w:val="47"/>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6"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spacing w:before="1"/>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before="1"/>
              <w:ind w:right="506"/>
              <w:jc w:val="right"/>
              <w:rPr>
                <w:rFonts w:hint="default" w:ascii="Times New Roman" w:hAnsi="Times New Roman" w:cs="Times New Roman"/>
                <w:color w:val="auto"/>
                <w:highlight w:val="none"/>
              </w:rPr>
            </w:pPr>
          </w:p>
        </w:tc>
        <w:tc>
          <w:tcPr>
            <w:tcW w:w="2025" w:type="dxa"/>
            <w:noWrap w:val="0"/>
            <w:vAlign w:val="top"/>
          </w:tcPr>
          <w:p>
            <w:pPr>
              <w:pStyle w:val="47"/>
              <w:spacing w:before="78"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spacing w:before="1"/>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spacing w:before="1"/>
              <w:ind w:right="506"/>
              <w:jc w:val="right"/>
              <w:rPr>
                <w:rFonts w:hint="default" w:ascii="Times New Roman" w:hAnsi="Times New Roman" w:cs="Times New Roman"/>
                <w:color w:val="auto"/>
                <w:highlight w:val="none"/>
              </w:rPr>
            </w:pPr>
          </w:p>
        </w:tc>
        <w:tc>
          <w:tcPr>
            <w:tcW w:w="2025" w:type="dxa"/>
            <w:noWrap w:val="0"/>
            <w:vAlign w:val="top"/>
          </w:tcPr>
          <w:p>
            <w:pPr>
              <w:pStyle w:val="47"/>
              <w:spacing w:before="79"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4"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7"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333" w:type="dxa"/>
            <w:noWrap w:val="0"/>
            <w:vAlign w:val="top"/>
          </w:tcPr>
          <w:p>
            <w:pPr>
              <w:pStyle w:val="47"/>
              <w:ind w:left="172" w:right="156"/>
              <w:jc w:val="center"/>
              <w:rPr>
                <w:rFonts w:hint="default" w:ascii="Times New Roman" w:hAnsi="Times New Roman" w:cs="Times New Roman"/>
                <w:color w:val="auto"/>
                <w:highlight w:val="none"/>
              </w:rPr>
            </w:pP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ind w:right="506"/>
              <w:jc w:val="right"/>
              <w:rPr>
                <w:rFonts w:hint="default" w:ascii="Times New Roman" w:hAnsi="Times New Roman" w:cs="Times New Roman"/>
                <w:color w:val="auto"/>
                <w:highlight w:val="none"/>
              </w:rPr>
            </w:pPr>
          </w:p>
        </w:tc>
        <w:tc>
          <w:tcPr>
            <w:tcW w:w="2025" w:type="dxa"/>
            <w:noWrap w:val="0"/>
            <w:vAlign w:val="top"/>
          </w:tcPr>
          <w:p>
            <w:pPr>
              <w:pStyle w:val="47"/>
              <w:spacing w:before="75" w:line="247" w:lineRule="auto"/>
              <w:ind w:left="463" w:right="28" w:hanging="420"/>
              <w:rPr>
                <w:rFonts w:hint="default" w:ascii="Times New Roman" w:hAnsi="Times New Roman" w:cs="Times New Roman"/>
                <w:color w:val="auto"/>
                <w:highlight w:val="none"/>
              </w:rPr>
            </w:pPr>
          </w:p>
        </w:tc>
        <w:tc>
          <w:tcPr>
            <w:tcW w:w="1320" w:type="dxa"/>
            <w:noWrap w:val="0"/>
            <w:vAlign w:val="top"/>
          </w:tcPr>
          <w:p>
            <w:pPr>
              <w:pStyle w:val="47"/>
              <w:ind w:left="151" w:right="133"/>
              <w:jc w:val="center"/>
              <w:rPr>
                <w:rFonts w:hint="default" w:ascii="Times New Roman" w:hAnsi="Times New Roman" w:cs="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333" w:type="dxa"/>
            <w:noWrap w:val="0"/>
            <w:vAlign w:val="top"/>
          </w:tcPr>
          <w:p>
            <w:pPr>
              <w:pStyle w:val="47"/>
              <w:spacing w:before="12"/>
              <w:rPr>
                <w:rFonts w:hint="default" w:ascii="Times New Roman" w:hAnsi="Times New Roman" w:cs="Times New Roman"/>
                <w:color w:val="auto"/>
                <w:sz w:val="20"/>
                <w:highlight w:val="none"/>
              </w:rPr>
            </w:pPr>
          </w:p>
          <w:p>
            <w:pPr>
              <w:pStyle w:val="47"/>
              <w:ind w:left="8"/>
              <w:jc w:val="center"/>
              <w:rPr>
                <w:rFonts w:hint="default" w:ascii="Times New Roman" w:hAnsi="Times New Roman" w:cs="Times New Roman"/>
                <w:color w:val="auto"/>
                <w:highlight w:val="none"/>
              </w:rPr>
            </w:pPr>
            <w:r>
              <w:rPr>
                <w:rFonts w:hint="default" w:ascii="Times New Roman" w:hAnsi="Times New Roman" w:cs="Times New Roman"/>
                <w:color w:val="auto"/>
                <w:w w:val="95"/>
                <w:highlight w:val="none"/>
              </w:rPr>
              <w:t>…</w:t>
            </w:r>
          </w:p>
        </w:tc>
        <w:tc>
          <w:tcPr>
            <w:tcW w:w="1740" w:type="dxa"/>
            <w:noWrap w:val="0"/>
            <w:vAlign w:val="top"/>
          </w:tcPr>
          <w:p>
            <w:pPr>
              <w:pStyle w:val="47"/>
              <w:rPr>
                <w:rFonts w:hint="default" w:ascii="Times New Roman" w:hAnsi="Times New Roman" w:cs="Times New Roman"/>
                <w:color w:val="auto"/>
                <w:sz w:val="20"/>
                <w:highlight w:val="none"/>
              </w:rPr>
            </w:pPr>
          </w:p>
        </w:tc>
        <w:tc>
          <w:tcPr>
            <w:tcW w:w="1980" w:type="dxa"/>
            <w:noWrap w:val="0"/>
            <w:vAlign w:val="top"/>
          </w:tcPr>
          <w:p>
            <w:pPr>
              <w:pStyle w:val="47"/>
              <w:rPr>
                <w:rFonts w:hint="default" w:ascii="Times New Roman" w:hAnsi="Times New Roman" w:cs="Times New Roman"/>
                <w:color w:val="auto"/>
                <w:sz w:val="20"/>
                <w:highlight w:val="none"/>
              </w:rPr>
            </w:pPr>
          </w:p>
        </w:tc>
        <w:tc>
          <w:tcPr>
            <w:tcW w:w="2025" w:type="dxa"/>
            <w:noWrap w:val="0"/>
            <w:vAlign w:val="top"/>
          </w:tcPr>
          <w:p>
            <w:pPr>
              <w:pStyle w:val="47"/>
              <w:rPr>
                <w:rFonts w:hint="default" w:ascii="Times New Roman" w:hAnsi="Times New Roman" w:cs="Times New Roman"/>
                <w:color w:val="auto"/>
                <w:sz w:val="20"/>
                <w:highlight w:val="none"/>
              </w:rPr>
            </w:pPr>
          </w:p>
        </w:tc>
        <w:tc>
          <w:tcPr>
            <w:tcW w:w="1320" w:type="dxa"/>
            <w:noWrap w:val="0"/>
            <w:vAlign w:val="top"/>
          </w:tcPr>
          <w:p>
            <w:pPr>
              <w:pStyle w:val="47"/>
              <w:rPr>
                <w:rFonts w:hint="default" w:ascii="Times New Roman" w:hAnsi="Times New Roman" w:cs="Times New Roman"/>
                <w:color w:val="auto"/>
                <w:sz w:val="20"/>
                <w:highlight w:val="none"/>
              </w:rPr>
            </w:pPr>
          </w:p>
        </w:tc>
      </w:tr>
    </w:tbl>
    <w:p>
      <w:pPr>
        <w:spacing w:line="600" w:lineRule="exact"/>
        <w:jc w:val="center"/>
        <w:rPr>
          <w:rFonts w:hint="default" w:ascii="Times New Roman" w:hAnsi="Times New Roman" w:cs="Times New Roman"/>
          <w:b/>
          <w:bCs/>
          <w:color w:val="auto"/>
          <w:sz w:val="28"/>
          <w:szCs w:val="28"/>
          <w:highlight w:val="none"/>
        </w:rPr>
      </w:pPr>
      <w:bookmarkStart w:id="388" w:name="注意：1、表中招标人所列的人员必须填写，其余项目组人员的配备及到位安排由投标人根"/>
      <w:bookmarkEnd w:id="388"/>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600" w:lineRule="exact"/>
        <w:jc w:val="center"/>
        <w:rPr>
          <w:rFonts w:hint="default" w:ascii="Times New Roman" w:hAnsi="Times New Roman" w:cs="Times New Roman"/>
          <w:b/>
          <w:bCs/>
          <w:color w:val="auto"/>
          <w:sz w:val="28"/>
          <w:szCs w:val="28"/>
          <w:highlight w:val="none"/>
        </w:rPr>
      </w:pPr>
    </w:p>
    <w:p>
      <w:pPr>
        <w:pStyle w:val="2"/>
        <w:rPr>
          <w:rFonts w:hint="default" w:ascii="Times New Roman" w:hAnsi="Times New Roman" w:cs="Times New Roman"/>
          <w:b/>
          <w:bCs/>
          <w:color w:val="auto"/>
          <w:sz w:val="28"/>
          <w:szCs w:val="28"/>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89" w:name="_Toc12608_WPSOffice_Level1"/>
      <w:bookmarkStart w:id="390" w:name="_Toc5817"/>
      <w:bookmarkStart w:id="391" w:name="_Toc2091_WPSOffice_Level1"/>
      <w:r>
        <w:rPr>
          <w:rFonts w:hint="default" w:ascii="Times New Roman" w:hAnsi="Times New Roman" w:cs="Times New Roman"/>
          <w:b w:val="0"/>
          <w:bCs w:val="0"/>
          <w:color w:val="auto"/>
          <w:sz w:val="21"/>
          <w:szCs w:val="21"/>
          <w:highlight w:val="none"/>
        </w:rPr>
        <w:t>附件五：</w:t>
      </w:r>
      <w:bookmarkEnd w:id="389"/>
      <w:bookmarkEnd w:id="390"/>
      <w:bookmarkEnd w:id="391"/>
    </w:p>
    <w:p>
      <w:pPr>
        <w:spacing w:line="600" w:lineRule="exact"/>
        <w:jc w:val="center"/>
        <w:rPr>
          <w:rFonts w:hint="eastAsia" w:ascii="Times New Roman" w:hAnsi="Times New Roman" w:eastAsia="宋体"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2020年芦浦镇创建国家卫生镇病媒生物防治项目</w:t>
      </w:r>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项目负责人简历表</w:t>
      </w:r>
    </w:p>
    <w:tbl>
      <w:tblPr>
        <w:tblStyle w:val="37"/>
        <w:tblW w:w="8465" w:type="dxa"/>
        <w:tblInd w:w="108" w:type="dxa"/>
        <w:tblLayout w:type="fixed"/>
        <w:tblCellMar>
          <w:top w:w="0" w:type="dxa"/>
          <w:left w:w="108" w:type="dxa"/>
          <w:bottom w:w="0" w:type="dxa"/>
          <w:right w:w="108" w:type="dxa"/>
        </w:tblCellMar>
      </w:tblPr>
      <w:tblGrid>
        <w:gridCol w:w="1099"/>
        <w:gridCol w:w="282"/>
        <w:gridCol w:w="670"/>
        <w:gridCol w:w="902"/>
        <w:gridCol w:w="1099"/>
        <w:gridCol w:w="1126"/>
        <w:gridCol w:w="942"/>
        <w:gridCol w:w="981"/>
        <w:gridCol w:w="1364"/>
      </w:tblGrid>
      <w:tr>
        <w:tblPrEx>
          <w:tblCellMar>
            <w:top w:w="0" w:type="dxa"/>
            <w:left w:w="108" w:type="dxa"/>
            <w:bottom w:w="0" w:type="dxa"/>
            <w:right w:w="108" w:type="dxa"/>
          </w:tblCellMar>
        </w:tblPrEx>
        <w:trPr>
          <w:trHeight w:val="567" w:hRule="exact"/>
        </w:trPr>
        <w:tc>
          <w:tcPr>
            <w:tcW w:w="10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姓名</w:t>
            </w:r>
          </w:p>
        </w:tc>
        <w:tc>
          <w:tcPr>
            <w:tcW w:w="95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0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性别</w:t>
            </w:r>
          </w:p>
        </w:tc>
        <w:tc>
          <w:tcPr>
            <w:tcW w:w="1099"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年龄</w:t>
            </w:r>
          </w:p>
        </w:tc>
        <w:tc>
          <w:tcPr>
            <w:tcW w:w="94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专业</w:t>
            </w:r>
          </w:p>
        </w:tc>
        <w:tc>
          <w:tcPr>
            <w:tcW w:w="1364"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证书名称</w:t>
            </w:r>
          </w:p>
        </w:tc>
        <w:tc>
          <w:tcPr>
            <w:tcW w:w="1572"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099"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职称</w:t>
            </w:r>
          </w:p>
        </w:tc>
        <w:tc>
          <w:tcPr>
            <w:tcW w:w="2068"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981"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学历</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2051"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参加工作时间</w:t>
            </w:r>
          </w:p>
        </w:tc>
        <w:tc>
          <w:tcPr>
            <w:tcW w:w="2001" w:type="dxa"/>
            <w:gridSpan w:val="2"/>
            <w:tcBorders>
              <w:top w:val="single" w:color="000000" w:sz="4" w:space="0"/>
              <w:left w:val="nil"/>
              <w:bottom w:val="single" w:color="000000" w:sz="4" w:space="0"/>
              <w:right w:val="single" w:color="000000" w:sz="4" w:space="0"/>
            </w:tcBorders>
            <w:shd w:val="clear" w:color="auto" w:fill="FFFFFF"/>
            <w:noWrap w:val="0"/>
            <w:vAlign w:val="center"/>
          </w:tcPr>
          <w:p>
            <w:pPr>
              <w:widowControl/>
              <w:ind w:left="-36" w:leftChars="-137" w:hanging="252" w:hangingChars="12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3049"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从事项目负责人年限</w:t>
            </w:r>
          </w:p>
        </w:tc>
        <w:tc>
          <w:tcPr>
            <w:tcW w:w="1364" w:type="dxa"/>
            <w:tcBorders>
              <w:top w:val="nil"/>
              <w:left w:val="nil"/>
              <w:bottom w:val="single" w:color="000000" w:sz="4" w:space="0"/>
              <w:right w:val="single" w:color="000000" w:sz="4" w:space="0"/>
            </w:tcBorders>
            <w:shd w:val="clear" w:color="auto" w:fill="FFFFFF"/>
            <w:noWrap w:val="0"/>
            <w:vAlign w:val="center"/>
          </w:tcPr>
          <w:p>
            <w:pPr>
              <w:widowControl/>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567" w:hRule="exact"/>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证书号</w:t>
            </w:r>
          </w:p>
        </w:tc>
        <w:tc>
          <w:tcPr>
            <w:tcW w:w="2671"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c>
          <w:tcPr>
            <w:tcW w:w="1126" w:type="dxa"/>
            <w:tcBorders>
              <w:top w:val="nil"/>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身份证</w:t>
            </w:r>
          </w:p>
        </w:tc>
        <w:tc>
          <w:tcPr>
            <w:tcW w:w="3287" w:type="dxa"/>
            <w:gridSpan w:val="3"/>
            <w:tcBorders>
              <w:top w:val="single" w:color="000000" w:sz="4" w:space="0"/>
              <w:left w:val="nil"/>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　</w:t>
            </w:r>
          </w:p>
        </w:tc>
      </w:tr>
      <w:tr>
        <w:tblPrEx>
          <w:tblCellMar>
            <w:top w:w="0" w:type="dxa"/>
            <w:left w:w="108" w:type="dxa"/>
            <w:bottom w:w="0" w:type="dxa"/>
            <w:right w:w="108" w:type="dxa"/>
          </w:tblCellMar>
        </w:tblPrEx>
        <w:trPr>
          <w:trHeight w:val="6878" w:hRule="atLeast"/>
        </w:trPr>
        <w:tc>
          <w:tcPr>
            <w:tcW w:w="1099"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简</w:t>
            </w: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p>
          <w:p>
            <w:pPr>
              <w:widowControl/>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历</w:t>
            </w:r>
          </w:p>
        </w:tc>
        <w:tc>
          <w:tcPr>
            <w:tcW w:w="7366"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jc w:val="left"/>
              <w:rPr>
                <w:rFonts w:hint="default" w:ascii="Times New Roman" w:hAnsi="Times New Roman" w:cs="Times New Roman"/>
                <w:color w:val="auto"/>
                <w:kern w:val="0"/>
                <w:szCs w:val="21"/>
                <w:highlight w:val="none"/>
              </w:rPr>
            </w:pPr>
          </w:p>
        </w:tc>
      </w:tr>
      <w:tr>
        <w:tblPrEx>
          <w:tblCellMar>
            <w:top w:w="0" w:type="dxa"/>
            <w:left w:w="108" w:type="dxa"/>
            <w:bottom w:w="0" w:type="dxa"/>
            <w:right w:w="108" w:type="dxa"/>
          </w:tblCellMar>
        </w:tblPrEx>
        <w:trPr>
          <w:trHeight w:val="253" w:hRule="atLeast"/>
        </w:trPr>
        <w:tc>
          <w:tcPr>
            <w:tcW w:w="1099"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c>
          <w:tcPr>
            <w:tcW w:w="7366"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auto"/>
                <w:kern w:val="0"/>
                <w:szCs w:val="21"/>
                <w:highlight w:val="none"/>
              </w:rPr>
            </w:pPr>
          </w:p>
        </w:tc>
      </w:tr>
    </w:tbl>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法定代表人（签字或盖章）：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 xml:space="preserve">投 标 人（盖章）：  </w:t>
      </w:r>
    </w:p>
    <w:p>
      <w:pPr>
        <w:spacing w:line="560" w:lineRule="exact"/>
        <w:ind w:right="482" w:firstLine="4935" w:firstLineChars="23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日  期：      年    月    日</w:t>
      </w:r>
    </w:p>
    <w:p>
      <w:pPr>
        <w:spacing w:line="360" w:lineRule="auto"/>
        <w:jc w:val="center"/>
        <w:outlineLvl w:val="0"/>
        <w:rPr>
          <w:rFonts w:hint="default" w:ascii="Times New Roman" w:hAnsi="Times New Roman" w:eastAsia="黑体" w:cs="Times New Roman"/>
          <w:b/>
          <w:color w:val="auto"/>
          <w:sz w:val="36"/>
          <w:highlight w:val="none"/>
        </w:rPr>
      </w:pPr>
    </w:p>
    <w:p>
      <w:pPr>
        <w:pStyle w:val="36"/>
        <w:spacing w:before="0"/>
        <w:jc w:val="both"/>
        <w:rPr>
          <w:rFonts w:hint="default" w:ascii="Times New Roman" w:hAnsi="Times New Roman" w:cs="Times New Roman"/>
          <w:b w:val="0"/>
          <w:bCs w:val="0"/>
          <w:color w:val="auto"/>
          <w:sz w:val="21"/>
          <w:szCs w:val="21"/>
          <w:highlight w:val="none"/>
        </w:rPr>
      </w:pPr>
      <w:bookmarkStart w:id="392" w:name="_Toc1794"/>
      <w:bookmarkStart w:id="393" w:name="_Toc19140_WPSOffice_Level1"/>
      <w:bookmarkStart w:id="394" w:name="_Toc10590_WPSOffice_Level1"/>
      <w:r>
        <w:rPr>
          <w:rFonts w:hint="default" w:ascii="Times New Roman" w:hAnsi="Times New Roman" w:cs="Times New Roman"/>
          <w:b w:val="0"/>
          <w:bCs w:val="0"/>
          <w:color w:val="auto"/>
          <w:sz w:val="21"/>
          <w:szCs w:val="21"/>
          <w:highlight w:val="none"/>
        </w:rPr>
        <w:t>附件六：</w:t>
      </w:r>
      <w:bookmarkEnd w:id="392"/>
      <w:bookmarkEnd w:id="393"/>
      <w:bookmarkEnd w:id="394"/>
    </w:p>
    <w:p>
      <w:pPr>
        <w:spacing w:before="120" w:beforeLines="50" w:after="120" w:afterLines="50" w:line="360" w:lineRule="auto"/>
        <w:jc w:val="center"/>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法定代表人授权委托书</w:t>
      </w:r>
    </w:p>
    <w:p>
      <w:pPr>
        <w:adjustRightInd w:val="0"/>
        <w:snapToGrid w:val="0"/>
        <w:spacing w:before="120" w:beforeLines="50" w:line="360" w:lineRule="auto"/>
        <w:jc w:val="center"/>
        <w:rPr>
          <w:rFonts w:hint="default" w:ascii="Times New Roman" w:hAnsi="Times New Roman" w:cs="Times New Roman"/>
          <w:color w:val="auto"/>
          <w:sz w:val="24"/>
          <w:szCs w:val="22"/>
          <w:highlight w:val="none"/>
        </w:rPr>
      </w:pPr>
      <w:bookmarkStart w:id="395" w:name="_Toc341_WPSOffice_Level1"/>
      <w:bookmarkStart w:id="396" w:name="_Toc21683_WPSOffice_Level1"/>
      <w:r>
        <w:rPr>
          <w:rFonts w:hint="default" w:ascii="Times New Roman" w:hAnsi="Times New Roman" w:cs="Times New Roman"/>
          <w:color w:val="auto"/>
          <w:sz w:val="24"/>
          <w:szCs w:val="22"/>
          <w:highlight w:val="none"/>
        </w:rPr>
        <w:t>（参考样张）</w:t>
      </w:r>
      <w:bookmarkEnd w:id="395"/>
      <w:bookmarkEnd w:id="396"/>
    </w:p>
    <w:p>
      <w:pPr>
        <w:adjustRightInd w:val="0"/>
        <w:snapToGrid w:val="0"/>
        <w:spacing w:line="700" w:lineRule="exact"/>
        <w:ind w:firstLine="600"/>
        <w:rPr>
          <w:rFonts w:hint="default" w:ascii="Times New Roman" w:hAnsi="Times New Roman" w:cs="Times New Roman"/>
          <w:snapToGrid w:val="0"/>
          <w:color w:val="auto"/>
          <w:kern w:val="0"/>
          <w:sz w:val="22"/>
          <w:szCs w:val="22"/>
          <w:highlight w:val="none"/>
          <w:u w:val="single"/>
        </w:rPr>
      </w:pPr>
      <w:r>
        <w:rPr>
          <w:rFonts w:hint="default" w:ascii="Times New Roman" w:hAnsi="Times New Roman" w:cs="Times New Roman"/>
          <w:color w:val="auto"/>
          <w:sz w:val="22"/>
          <w:szCs w:val="22"/>
          <w:highlight w:val="none"/>
        </w:rPr>
        <w:t>本授权委托书声明：我</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（姓名）系</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（投标人）的法定代表人，现授权委托我单位</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（姓名）为我的代理人，以本单位的名义参加</w:t>
      </w:r>
      <w:r>
        <w:rPr>
          <w:rFonts w:hint="eastAsia" w:ascii="Times New Roman" w:hAnsi="Times New Roman" w:cs="Times New Roman"/>
          <w:bCs/>
          <w:color w:val="auto"/>
          <w:sz w:val="22"/>
          <w:szCs w:val="22"/>
          <w:highlight w:val="none"/>
          <w:u w:val="single"/>
          <w:lang w:eastAsia="zh-CN"/>
        </w:rPr>
        <w:t>玉环市芦浦镇人民政府</w:t>
      </w:r>
      <w:r>
        <w:rPr>
          <w:rFonts w:hint="default" w:ascii="Times New Roman" w:hAnsi="Times New Roman" w:cs="Times New Roman"/>
          <w:color w:val="auto"/>
          <w:sz w:val="22"/>
          <w:szCs w:val="22"/>
          <w:highlight w:val="none"/>
        </w:rPr>
        <w:t>（招标人）的</w:t>
      </w:r>
      <w:r>
        <w:rPr>
          <w:rFonts w:hint="eastAsia" w:ascii="Times New Roman" w:hAnsi="Times New Roman" w:cs="Times New Roman"/>
          <w:snapToGrid w:val="0"/>
          <w:color w:val="auto"/>
          <w:kern w:val="0"/>
          <w:sz w:val="22"/>
          <w:szCs w:val="22"/>
          <w:highlight w:val="none"/>
          <w:u w:val="single"/>
          <w:lang w:eastAsia="zh-CN"/>
        </w:rPr>
        <w:t>2020年芦浦镇创建国家卫生镇病媒生物防治项目</w:t>
      </w:r>
      <w:r>
        <w:rPr>
          <w:rFonts w:hint="default" w:ascii="Times New Roman" w:hAnsi="Times New Roman" w:cs="Times New Roman"/>
          <w:color w:val="auto"/>
          <w:sz w:val="22"/>
          <w:szCs w:val="22"/>
          <w:highlight w:val="none"/>
        </w:rPr>
        <w:t>（项目名称）的投标。代理人在该项目招投标活动中的一切事务，我均予以承认。</w:t>
      </w:r>
    </w:p>
    <w:p>
      <w:pPr>
        <w:adjustRightInd w:val="0"/>
        <w:snapToGrid w:val="0"/>
        <w:spacing w:line="700" w:lineRule="exact"/>
        <w:ind w:firstLine="440" w:firstLineChars="200"/>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代理人无转委权，特此委托。</w:t>
      </w: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beforeLines="50" w:line="360" w:lineRule="auto"/>
        <w:rPr>
          <w:rFonts w:hint="default" w:ascii="Times New Roman" w:hAnsi="Times New Roman" w:cs="Times New Roman"/>
          <w:color w:val="auto"/>
          <w:sz w:val="22"/>
          <w:szCs w:val="22"/>
          <w:highlight w:val="none"/>
        </w:rPr>
      </w:pP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投标人（盖章）：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法定代表人（盖章）：</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代理人：</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性别：</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年龄</w:t>
      </w:r>
      <w:r>
        <w:rPr>
          <w:rFonts w:hint="default" w:ascii="Times New Roman" w:hAnsi="Times New Roman" w:cs="Times New Roman"/>
          <w:color w:val="auto"/>
          <w:sz w:val="22"/>
          <w:szCs w:val="22"/>
          <w:highlight w:val="none"/>
          <w:u w:val="single"/>
        </w:rPr>
        <w:t xml:space="preserve">          </w:t>
      </w:r>
    </w:p>
    <w:p>
      <w:pPr>
        <w:adjustRightInd w:val="0"/>
        <w:snapToGrid w:val="0"/>
        <w:spacing w:before="120" w:line="700" w:lineRule="exact"/>
        <w:rPr>
          <w:rFonts w:hint="default" w:ascii="Times New Roman" w:hAnsi="Times New Roman" w:cs="Times New Roman"/>
          <w:color w:val="auto"/>
          <w:sz w:val="22"/>
          <w:szCs w:val="22"/>
          <w:highlight w:val="none"/>
          <w:u w:val="single"/>
        </w:rPr>
      </w:pPr>
      <w:r>
        <w:rPr>
          <w:rFonts w:hint="default" w:ascii="Times New Roman" w:hAnsi="Times New Roman" w:cs="Times New Roman"/>
          <w:color w:val="auto"/>
          <w:sz w:val="22"/>
          <w:szCs w:val="22"/>
          <w:highlight w:val="none"/>
        </w:rPr>
        <w:t>身份证号码：</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职务：</w:t>
      </w:r>
      <w:r>
        <w:rPr>
          <w:rFonts w:hint="default" w:ascii="Times New Roman" w:hAnsi="Times New Roman" w:cs="Times New Roman"/>
          <w:color w:val="auto"/>
          <w:sz w:val="22"/>
          <w:szCs w:val="22"/>
          <w:highlight w:val="none"/>
          <w:u w:val="single"/>
        </w:rPr>
        <w:t xml:space="preserve">                    </w:t>
      </w:r>
    </w:p>
    <w:p>
      <w:pPr>
        <w:spacing w:line="7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2"/>
          <w:szCs w:val="22"/>
          <w:highlight w:val="none"/>
        </w:rPr>
        <w:t>授权委托日期：</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年</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月</w:t>
      </w:r>
      <w:r>
        <w:rPr>
          <w:rFonts w:hint="default" w:ascii="Times New Roman" w:hAnsi="Times New Roman" w:cs="Times New Roman"/>
          <w:color w:val="auto"/>
          <w:sz w:val="22"/>
          <w:szCs w:val="22"/>
          <w:highlight w:val="none"/>
          <w:u w:val="single"/>
        </w:rPr>
        <w:t xml:space="preserve">             </w:t>
      </w:r>
      <w:r>
        <w:rPr>
          <w:rFonts w:hint="default" w:ascii="Times New Roman" w:hAnsi="Times New Roman" w:cs="Times New Roman"/>
          <w:color w:val="auto"/>
          <w:sz w:val="22"/>
          <w:szCs w:val="22"/>
          <w:highlight w:val="none"/>
        </w:rPr>
        <w:t>日</w:t>
      </w:r>
      <w:bookmarkEnd w:id="375"/>
      <w:bookmarkEnd w:id="379"/>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2"/>
        <w:rPr>
          <w:rFonts w:hint="default" w:ascii="Times New Roman" w:hAnsi="Times New Roman" w:cs="Times New Roman"/>
          <w:color w:val="auto"/>
          <w:sz w:val="28"/>
          <w:highlight w:val="none"/>
        </w:rPr>
      </w:pPr>
    </w:p>
    <w:p>
      <w:pPr>
        <w:pStyle w:val="36"/>
        <w:spacing w:before="0"/>
        <w:jc w:val="both"/>
        <w:rPr>
          <w:rFonts w:hint="default" w:ascii="Times New Roman" w:hAnsi="Times New Roman" w:cs="Times New Roman"/>
          <w:b w:val="0"/>
          <w:bCs w:val="0"/>
          <w:color w:val="auto"/>
          <w:sz w:val="21"/>
          <w:szCs w:val="21"/>
          <w:highlight w:val="none"/>
        </w:rPr>
      </w:pPr>
    </w:p>
    <w:p>
      <w:pPr>
        <w:rPr>
          <w:color w:val="auto"/>
          <w:highlight w:val="none"/>
        </w:rPr>
      </w:pPr>
    </w:p>
    <w:sectPr>
      <w:pgSz w:w="11906" w:h="16838"/>
      <w:pgMar w:top="1701" w:right="1701" w:bottom="1701" w:left="1701" w:header="992"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pict>
        <v:shape id="文本框 1030"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lang w:eastAsia="zh-CN"/>
      </w:rPr>
      <w:t>2020年芦浦镇创建国家卫生镇病媒生物防治项目</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2150E"/>
    <w:multiLevelType w:val="multilevel"/>
    <w:tmpl w:val="3A02150E"/>
    <w:lvl w:ilvl="0" w:tentative="0">
      <w:start w:val="1"/>
      <w:numFmt w:val="decimal"/>
      <w:pStyle w:val="5"/>
      <w:suff w:val="nothing"/>
      <w:lvlText w:val="%1."/>
      <w:lvlJc w:val="left"/>
      <w:pPr>
        <w:ind w:left="284" w:firstLine="0"/>
      </w:pPr>
      <w:rPr>
        <w:rFonts w:hint="eastAsia"/>
      </w:rPr>
    </w:lvl>
    <w:lvl w:ilvl="1" w:tentative="0">
      <w:start w:val="1"/>
      <w:numFmt w:val="decimal"/>
      <w:suff w:val="space"/>
      <w:lvlText w:val="%1.%2"/>
      <w:lvlJc w:val="left"/>
      <w:pPr>
        <w:ind w:left="142"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7135E7B"/>
    <w:multiLevelType w:val="singleLevel"/>
    <w:tmpl w:val="47135E7B"/>
    <w:lvl w:ilvl="0" w:tentative="0">
      <w:start w:val="1"/>
      <w:numFmt w:val="chineseCounting"/>
      <w:suff w:val="nothing"/>
      <w:lvlText w:val="%1、"/>
      <w:lvlJc w:val="left"/>
      <w:rPr>
        <w:rFonts w:hint="eastAsia"/>
      </w:rPr>
    </w:lvl>
  </w:abstractNum>
  <w:abstractNum w:abstractNumId="2">
    <w:nsid w:val="5A49363A"/>
    <w:multiLevelType w:val="singleLevel"/>
    <w:tmpl w:val="5A49363A"/>
    <w:lvl w:ilvl="0" w:tentative="0">
      <w:start w:val="7"/>
      <w:numFmt w:val="chineseCounting"/>
      <w:suff w:val="nothing"/>
      <w:lvlText w:val="%1、"/>
      <w:lvlJc w:val="left"/>
      <w:rPr>
        <w:rFonts w:hint="eastAsia"/>
      </w:rPr>
    </w:lvl>
  </w:abstractNum>
  <w:abstractNum w:abstractNumId="3">
    <w:nsid w:val="627D133F"/>
    <w:multiLevelType w:val="multilevel"/>
    <w:tmpl w:val="627D133F"/>
    <w:lvl w:ilvl="0" w:tentative="0">
      <w:start w:val="1"/>
      <w:numFmt w:val="koreanDigital2"/>
      <w:pStyle w:val="3"/>
      <w:lvlText w:val="第%1章"/>
      <w:lvlJc w:val="left"/>
      <w:pPr>
        <w:tabs>
          <w:tab w:val="left" w:pos="5900"/>
        </w:tabs>
        <w:ind w:left="5900" w:hanging="108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4">
    <w:nsid w:val="70E97B6F"/>
    <w:multiLevelType w:val="multilevel"/>
    <w:tmpl w:val="70E97B6F"/>
    <w:lvl w:ilvl="0" w:tentative="0">
      <w:start w:val="1"/>
      <w:numFmt w:val="decimal"/>
      <w:lvlText w:val="（%1）"/>
      <w:lvlJc w:val="left"/>
      <w:pPr>
        <w:tabs>
          <w:tab w:val="left" w:pos="1140"/>
        </w:tabs>
        <w:ind w:left="-5" w:firstLine="425"/>
      </w:pPr>
      <w:rPr>
        <w:rFonts w:hint="eastAsia"/>
        <w:color w:val="auto"/>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CA"/>
    <w:rsid w:val="000034FF"/>
    <w:rsid w:val="000537B4"/>
    <w:rsid w:val="0006326C"/>
    <w:rsid w:val="0006477E"/>
    <w:rsid w:val="00087CAA"/>
    <w:rsid w:val="00095E61"/>
    <w:rsid w:val="000B7222"/>
    <w:rsid w:val="000C4E70"/>
    <w:rsid w:val="000D48E7"/>
    <w:rsid w:val="000E5119"/>
    <w:rsid w:val="00115E50"/>
    <w:rsid w:val="0012205A"/>
    <w:rsid w:val="001470CA"/>
    <w:rsid w:val="001661AA"/>
    <w:rsid w:val="001720DD"/>
    <w:rsid w:val="001A2AEB"/>
    <w:rsid w:val="001C0198"/>
    <w:rsid w:val="00200787"/>
    <w:rsid w:val="00250FF6"/>
    <w:rsid w:val="00273383"/>
    <w:rsid w:val="00284BEF"/>
    <w:rsid w:val="002A3244"/>
    <w:rsid w:val="002A7E5A"/>
    <w:rsid w:val="002B6C45"/>
    <w:rsid w:val="002C6B5E"/>
    <w:rsid w:val="002D1E20"/>
    <w:rsid w:val="002E0C24"/>
    <w:rsid w:val="002F05FF"/>
    <w:rsid w:val="002F203A"/>
    <w:rsid w:val="003147EB"/>
    <w:rsid w:val="00314BAA"/>
    <w:rsid w:val="00314CAB"/>
    <w:rsid w:val="00333CDA"/>
    <w:rsid w:val="00347718"/>
    <w:rsid w:val="00351626"/>
    <w:rsid w:val="003564E1"/>
    <w:rsid w:val="003567DE"/>
    <w:rsid w:val="00370C5E"/>
    <w:rsid w:val="003719A0"/>
    <w:rsid w:val="003804DD"/>
    <w:rsid w:val="00392E91"/>
    <w:rsid w:val="003B24E2"/>
    <w:rsid w:val="003B542C"/>
    <w:rsid w:val="003B546F"/>
    <w:rsid w:val="003B5D5A"/>
    <w:rsid w:val="003B6740"/>
    <w:rsid w:val="003E0F9E"/>
    <w:rsid w:val="003E43D9"/>
    <w:rsid w:val="003F0026"/>
    <w:rsid w:val="003F755D"/>
    <w:rsid w:val="004072BC"/>
    <w:rsid w:val="0041743E"/>
    <w:rsid w:val="00417E27"/>
    <w:rsid w:val="0044153C"/>
    <w:rsid w:val="00451C2E"/>
    <w:rsid w:val="0046153A"/>
    <w:rsid w:val="004617BA"/>
    <w:rsid w:val="00484B33"/>
    <w:rsid w:val="00496C91"/>
    <w:rsid w:val="004B2C16"/>
    <w:rsid w:val="004B4BEA"/>
    <w:rsid w:val="004C2678"/>
    <w:rsid w:val="004C760A"/>
    <w:rsid w:val="004D0E73"/>
    <w:rsid w:val="004D26F2"/>
    <w:rsid w:val="004F1AD4"/>
    <w:rsid w:val="00515894"/>
    <w:rsid w:val="0053388D"/>
    <w:rsid w:val="005374DA"/>
    <w:rsid w:val="00540468"/>
    <w:rsid w:val="005433EA"/>
    <w:rsid w:val="005723C4"/>
    <w:rsid w:val="00572979"/>
    <w:rsid w:val="00573A0B"/>
    <w:rsid w:val="005B34EB"/>
    <w:rsid w:val="005D29B9"/>
    <w:rsid w:val="00600DFC"/>
    <w:rsid w:val="0063708D"/>
    <w:rsid w:val="00642C0C"/>
    <w:rsid w:val="00651AAE"/>
    <w:rsid w:val="00672909"/>
    <w:rsid w:val="00672FA2"/>
    <w:rsid w:val="00684BD6"/>
    <w:rsid w:val="00685A4F"/>
    <w:rsid w:val="006B4EA6"/>
    <w:rsid w:val="006D6B97"/>
    <w:rsid w:val="006E79DF"/>
    <w:rsid w:val="006F2B0D"/>
    <w:rsid w:val="007020D1"/>
    <w:rsid w:val="00702394"/>
    <w:rsid w:val="00714467"/>
    <w:rsid w:val="00724429"/>
    <w:rsid w:val="00733117"/>
    <w:rsid w:val="007578EE"/>
    <w:rsid w:val="007716E1"/>
    <w:rsid w:val="007825D6"/>
    <w:rsid w:val="007832AF"/>
    <w:rsid w:val="007A2857"/>
    <w:rsid w:val="007B5830"/>
    <w:rsid w:val="007D612A"/>
    <w:rsid w:val="007E5947"/>
    <w:rsid w:val="007F16EB"/>
    <w:rsid w:val="00806457"/>
    <w:rsid w:val="00820C84"/>
    <w:rsid w:val="00824D82"/>
    <w:rsid w:val="00832A68"/>
    <w:rsid w:val="00834A4B"/>
    <w:rsid w:val="00897797"/>
    <w:rsid w:val="008A6925"/>
    <w:rsid w:val="008C4D30"/>
    <w:rsid w:val="008C6742"/>
    <w:rsid w:val="008D04E1"/>
    <w:rsid w:val="009037B7"/>
    <w:rsid w:val="00913B92"/>
    <w:rsid w:val="00930279"/>
    <w:rsid w:val="00943948"/>
    <w:rsid w:val="00957635"/>
    <w:rsid w:val="00960206"/>
    <w:rsid w:val="009643ED"/>
    <w:rsid w:val="0097082A"/>
    <w:rsid w:val="009963A8"/>
    <w:rsid w:val="00996C41"/>
    <w:rsid w:val="009B5806"/>
    <w:rsid w:val="009D6505"/>
    <w:rsid w:val="00A0011D"/>
    <w:rsid w:val="00A02CBE"/>
    <w:rsid w:val="00A14E18"/>
    <w:rsid w:val="00A17D51"/>
    <w:rsid w:val="00A222D0"/>
    <w:rsid w:val="00A304ED"/>
    <w:rsid w:val="00A57292"/>
    <w:rsid w:val="00A61C42"/>
    <w:rsid w:val="00A75581"/>
    <w:rsid w:val="00AD7196"/>
    <w:rsid w:val="00AE3394"/>
    <w:rsid w:val="00AF246A"/>
    <w:rsid w:val="00B21671"/>
    <w:rsid w:val="00B26F1B"/>
    <w:rsid w:val="00B30383"/>
    <w:rsid w:val="00B420E2"/>
    <w:rsid w:val="00B47B40"/>
    <w:rsid w:val="00B502BD"/>
    <w:rsid w:val="00B63F98"/>
    <w:rsid w:val="00BA14F8"/>
    <w:rsid w:val="00BA4788"/>
    <w:rsid w:val="00BA5A39"/>
    <w:rsid w:val="00BB1821"/>
    <w:rsid w:val="00C02A46"/>
    <w:rsid w:val="00C12B9B"/>
    <w:rsid w:val="00C343E4"/>
    <w:rsid w:val="00C3775D"/>
    <w:rsid w:val="00C41BBF"/>
    <w:rsid w:val="00C774A1"/>
    <w:rsid w:val="00C95213"/>
    <w:rsid w:val="00CA11F0"/>
    <w:rsid w:val="00CB7C1E"/>
    <w:rsid w:val="00CB7C9F"/>
    <w:rsid w:val="00CD5E15"/>
    <w:rsid w:val="00CE0393"/>
    <w:rsid w:val="00CE3333"/>
    <w:rsid w:val="00CF05B2"/>
    <w:rsid w:val="00CF3121"/>
    <w:rsid w:val="00D10086"/>
    <w:rsid w:val="00D17BF4"/>
    <w:rsid w:val="00D26609"/>
    <w:rsid w:val="00D27184"/>
    <w:rsid w:val="00D317CA"/>
    <w:rsid w:val="00D3521D"/>
    <w:rsid w:val="00D35FA8"/>
    <w:rsid w:val="00D50F8B"/>
    <w:rsid w:val="00D66938"/>
    <w:rsid w:val="00D771AB"/>
    <w:rsid w:val="00D912B2"/>
    <w:rsid w:val="00D9169A"/>
    <w:rsid w:val="00DA2FE8"/>
    <w:rsid w:val="00DB1B05"/>
    <w:rsid w:val="00DD5B3B"/>
    <w:rsid w:val="00DE17E9"/>
    <w:rsid w:val="00DF07A3"/>
    <w:rsid w:val="00DF0D13"/>
    <w:rsid w:val="00E04AB7"/>
    <w:rsid w:val="00E108DC"/>
    <w:rsid w:val="00E123F0"/>
    <w:rsid w:val="00E34C3E"/>
    <w:rsid w:val="00E53956"/>
    <w:rsid w:val="00E635DC"/>
    <w:rsid w:val="00E75D96"/>
    <w:rsid w:val="00E84144"/>
    <w:rsid w:val="00E879D5"/>
    <w:rsid w:val="00E930CC"/>
    <w:rsid w:val="00EB4DCE"/>
    <w:rsid w:val="00EC37C2"/>
    <w:rsid w:val="00EC4EA9"/>
    <w:rsid w:val="00ED445E"/>
    <w:rsid w:val="00ED4971"/>
    <w:rsid w:val="00EE3E78"/>
    <w:rsid w:val="00EF016F"/>
    <w:rsid w:val="00F02331"/>
    <w:rsid w:val="00F026AB"/>
    <w:rsid w:val="00F139A4"/>
    <w:rsid w:val="00F14099"/>
    <w:rsid w:val="00F22ED3"/>
    <w:rsid w:val="00F2739E"/>
    <w:rsid w:val="00F4455D"/>
    <w:rsid w:val="00F66365"/>
    <w:rsid w:val="00F92EA5"/>
    <w:rsid w:val="00F94AFE"/>
    <w:rsid w:val="00F97A7E"/>
    <w:rsid w:val="00FA6449"/>
    <w:rsid w:val="00FB2CB7"/>
    <w:rsid w:val="00FB58B6"/>
    <w:rsid w:val="00FC2A5A"/>
    <w:rsid w:val="00FE0D0A"/>
    <w:rsid w:val="00FE477C"/>
    <w:rsid w:val="00FE7091"/>
    <w:rsid w:val="020F2CF6"/>
    <w:rsid w:val="026C41CB"/>
    <w:rsid w:val="045F21A4"/>
    <w:rsid w:val="04746D93"/>
    <w:rsid w:val="048E2516"/>
    <w:rsid w:val="04984407"/>
    <w:rsid w:val="04E03953"/>
    <w:rsid w:val="065A01CE"/>
    <w:rsid w:val="083A2907"/>
    <w:rsid w:val="085579D2"/>
    <w:rsid w:val="08951888"/>
    <w:rsid w:val="08CF41D2"/>
    <w:rsid w:val="091D5546"/>
    <w:rsid w:val="099D0C2E"/>
    <w:rsid w:val="09A241CD"/>
    <w:rsid w:val="09F02910"/>
    <w:rsid w:val="0A784078"/>
    <w:rsid w:val="0AD1181B"/>
    <w:rsid w:val="0BAA1521"/>
    <w:rsid w:val="0CC078A9"/>
    <w:rsid w:val="0D081081"/>
    <w:rsid w:val="0E5A7C9B"/>
    <w:rsid w:val="0EC606EF"/>
    <w:rsid w:val="0EDE0C9F"/>
    <w:rsid w:val="0F593AA0"/>
    <w:rsid w:val="0FF50F4D"/>
    <w:rsid w:val="11493D02"/>
    <w:rsid w:val="1244185F"/>
    <w:rsid w:val="13067B27"/>
    <w:rsid w:val="149B6DA5"/>
    <w:rsid w:val="14EC150A"/>
    <w:rsid w:val="157C50F6"/>
    <w:rsid w:val="15962BA1"/>
    <w:rsid w:val="15C453FE"/>
    <w:rsid w:val="160B49DC"/>
    <w:rsid w:val="16986994"/>
    <w:rsid w:val="1792237D"/>
    <w:rsid w:val="18875438"/>
    <w:rsid w:val="18B76E9A"/>
    <w:rsid w:val="19E32AFF"/>
    <w:rsid w:val="1C15430B"/>
    <w:rsid w:val="1DE556C0"/>
    <w:rsid w:val="1E5D4A9B"/>
    <w:rsid w:val="1F154275"/>
    <w:rsid w:val="1FF22140"/>
    <w:rsid w:val="21031498"/>
    <w:rsid w:val="217512BF"/>
    <w:rsid w:val="232D3A73"/>
    <w:rsid w:val="23E373D2"/>
    <w:rsid w:val="2451251D"/>
    <w:rsid w:val="246B6176"/>
    <w:rsid w:val="24B4258C"/>
    <w:rsid w:val="259A3822"/>
    <w:rsid w:val="25F84832"/>
    <w:rsid w:val="265B5544"/>
    <w:rsid w:val="27CB3914"/>
    <w:rsid w:val="27EF1537"/>
    <w:rsid w:val="2AA53591"/>
    <w:rsid w:val="2ABA1490"/>
    <w:rsid w:val="2ADD2813"/>
    <w:rsid w:val="2B4B2119"/>
    <w:rsid w:val="2CD91A3F"/>
    <w:rsid w:val="2DF87B22"/>
    <w:rsid w:val="2E28661A"/>
    <w:rsid w:val="30F95A65"/>
    <w:rsid w:val="31144A24"/>
    <w:rsid w:val="32A0641C"/>
    <w:rsid w:val="35665C86"/>
    <w:rsid w:val="358151BB"/>
    <w:rsid w:val="35C120FA"/>
    <w:rsid w:val="36A25744"/>
    <w:rsid w:val="36B755A8"/>
    <w:rsid w:val="36E55EAA"/>
    <w:rsid w:val="37313A59"/>
    <w:rsid w:val="381539F1"/>
    <w:rsid w:val="389135DE"/>
    <w:rsid w:val="38C771F0"/>
    <w:rsid w:val="3A597828"/>
    <w:rsid w:val="3BB75D55"/>
    <w:rsid w:val="3C2F2F90"/>
    <w:rsid w:val="3CBD2B13"/>
    <w:rsid w:val="3DFC2B02"/>
    <w:rsid w:val="3E85776B"/>
    <w:rsid w:val="3EEE792E"/>
    <w:rsid w:val="400A65C8"/>
    <w:rsid w:val="40B03EA8"/>
    <w:rsid w:val="41BA4F3B"/>
    <w:rsid w:val="42893910"/>
    <w:rsid w:val="43891AF0"/>
    <w:rsid w:val="45CA37CF"/>
    <w:rsid w:val="45F33175"/>
    <w:rsid w:val="46270654"/>
    <w:rsid w:val="471A533A"/>
    <w:rsid w:val="48BC0362"/>
    <w:rsid w:val="497D7D94"/>
    <w:rsid w:val="49A23F4E"/>
    <w:rsid w:val="4AD50BDF"/>
    <w:rsid w:val="4B001D3D"/>
    <w:rsid w:val="4B9D7F2A"/>
    <w:rsid w:val="4CC2690C"/>
    <w:rsid w:val="4ED23CB2"/>
    <w:rsid w:val="507E145A"/>
    <w:rsid w:val="53714F98"/>
    <w:rsid w:val="53CC114B"/>
    <w:rsid w:val="54F80FF4"/>
    <w:rsid w:val="554717C6"/>
    <w:rsid w:val="56553086"/>
    <w:rsid w:val="580C7B4E"/>
    <w:rsid w:val="59BF05D6"/>
    <w:rsid w:val="59EE4E13"/>
    <w:rsid w:val="5A3D057A"/>
    <w:rsid w:val="5ABD185D"/>
    <w:rsid w:val="5BB27ED2"/>
    <w:rsid w:val="5F240413"/>
    <w:rsid w:val="602E68D0"/>
    <w:rsid w:val="609C5207"/>
    <w:rsid w:val="612965A9"/>
    <w:rsid w:val="62675B6E"/>
    <w:rsid w:val="62B82149"/>
    <w:rsid w:val="630E7326"/>
    <w:rsid w:val="64703048"/>
    <w:rsid w:val="64EC4598"/>
    <w:rsid w:val="656F3EA7"/>
    <w:rsid w:val="65CA4B62"/>
    <w:rsid w:val="672D6ED6"/>
    <w:rsid w:val="678B68DA"/>
    <w:rsid w:val="68747BE8"/>
    <w:rsid w:val="69325901"/>
    <w:rsid w:val="693950C5"/>
    <w:rsid w:val="6993068F"/>
    <w:rsid w:val="6B014A48"/>
    <w:rsid w:val="6BFE5CAB"/>
    <w:rsid w:val="6CB16014"/>
    <w:rsid w:val="6D276D7E"/>
    <w:rsid w:val="6D6A413A"/>
    <w:rsid w:val="6DCB6E2F"/>
    <w:rsid w:val="6DD71FE0"/>
    <w:rsid w:val="6F0178B7"/>
    <w:rsid w:val="709913D7"/>
    <w:rsid w:val="72357712"/>
    <w:rsid w:val="747263AE"/>
    <w:rsid w:val="74AF745C"/>
    <w:rsid w:val="75960A6A"/>
    <w:rsid w:val="75E764D7"/>
    <w:rsid w:val="766D52E5"/>
    <w:rsid w:val="785446BA"/>
    <w:rsid w:val="788022BD"/>
    <w:rsid w:val="7892661F"/>
    <w:rsid w:val="799E3EAC"/>
    <w:rsid w:val="7AFE649F"/>
    <w:rsid w:val="7AFE74D4"/>
    <w:rsid w:val="7B8C6B05"/>
    <w:rsid w:val="7CD15917"/>
    <w:rsid w:val="7D7948B5"/>
    <w:rsid w:val="7E5B0901"/>
    <w:rsid w:val="7E6C02BC"/>
    <w:rsid w:val="7ED36C80"/>
    <w:rsid w:val="7FDD1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9"/>
    <w:qFormat/>
    <w:uiPriority w:val="0"/>
    <w:pPr>
      <w:keepNext/>
      <w:keepLines/>
      <w:numPr>
        <w:ilvl w:val="0"/>
        <w:numId w:val="1"/>
      </w:numPr>
      <w:tabs>
        <w:tab w:val="left" w:pos="4592"/>
      </w:tabs>
      <w:spacing w:before="120" w:after="120"/>
      <w:outlineLvl w:val="0"/>
    </w:pPr>
    <w:rPr>
      <w:rFonts w:ascii="黑体" w:hAnsi="宋体" w:eastAsia="黑体"/>
      <w:b/>
      <w:kern w:val="44"/>
      <w:sz w:val="32"/>
      <w:szCs w:val="32"/>
    </w:rPr>
  </w:style>
  <w:style w:type="paragraph" w:styleId="4">
    <w:name w:val="heading 2"/>
    <w:basedOn w:val="1"/>
    <w:next w:val="1"/>
    <w:link w:val="95"/>
    <w:qFormat/>
    <w:uiPriority w:val="0"/>
    <w:pPr>
      <w:spacing w:before="360" w:after="120" w:line="320" w:lineRule="exact"/>
      <w:ind w:left="839"/>
      <w:jc w:val="center"/>
      <w:outlineLvl w:val="1"/>
    </w:pPr>
    <w:rPr>
      <w:rFonts w:ascii="黑体" w:hAnsi="宋体" w:eastAsia="黑体"/>
      <w:b/>
      <w:bCs/>
      <w:snapToGrid w:val="0"/>
      <w:color w:val="000000"/>
      <w:spacing w:val="-6"/>
      <w:kern w:val="0"/>
      <w:sz w:val="32"/>
      <w:szCs w:val="32"/>
    </w:rPr>
  </w:style>
  <w:style w:type="paragraph" w:styleId="5">
    <w:name w:val="heading 3"/>
    <w:basedOn w:val="1"/>
    <w:next w:val="6"/>
    <w:link w:val="67"/>
    <w:qFormat/>
    <w:uiPriority w:val="0"/>
    <w:pPr>
      <w:keepNext/>
      <w:keepLines/>
      <w:numPr>
        <w:ilvl w:val="0"/>
        <w:numId w:val="2"/>
      </w:numPr>
      <w:tabs>
        <w:tab w:val="left" w:pos="287"/>
      </w:tabs>
      <w:spacing w:before="360" w:line="288" w:lineRule="auto"/>
      <w:jc w:val="left"/>
      <w:outlineLvl w:val="2"/>
    </w:pPr>
    <w:rPr>
      <w:rFonts w:ascii="黑体" w:hAnsi="宋体" w:eastAsia="黑体"/>
      <w:b/>
      <w:szCs w:val="20"/>
    </w:rPr>
  </w:style>
  <w:style w:type="paragraph" w:styleId="7">
    <w:name w:val="heading 4"/>
    <w:basedOn w:val="1"/>
    <w:next w:val="1"/>
    <w:link w:val="6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92"/>
    <w:qFormat/>
    <w:uiPriority w:val="0"/>
    <w:pPr>
      <w:keepNext/>
      <w:keepLines/>
      <w:spacing w:before="280" w:after="290" w:line="376" w:lineRule="auto"/>
      <w:outlineLvl w:val="4"/>
    </w:pPr>
    <w:rPr>
      <w:rFonts w:eastAsia="仿宋_GB2312"/>
      <w:b/>
      <w:bCs/>
      <w:sz w:val="28"/>
      <w:szCs w:val="28"/>
    </w:rPr>
  </w:style>
  <w:style w:type="paragraph" w:styleId="9">
    <w:name w:val="heading 6"/>
    <w:basedOn w:val="1"/>
    <w:next w:val="1"/>
    <w:link w:val="62"/>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66"/>
    <w:qFormat/>
    <w:uiPriority w:val="0"/>
    <w:pPr>
      <w:keepNext/>
      <w:keepLines/>
      <w:spacing w:before="240" w:after="64" w:line="320" w:lineRule="auto"/>
      <w:outlineLvl w:val="6"/>
    </w:pPr>
    <w:rPr>
      <w:rFonts w:eastAsia="仿宋_GB2312"/>
      <w:b/>
      <w:bCs/>
      <w:sz w:val="24"/>
    </w:rPr>
  </w:style>
  <w:style w:type="paragraph" w:styleId="11">
    <w:name w:val="heading 8"/>
    <w:basedOn w:val="1"/>
    <w:next w:val="1"/>
    <w:link w:val="84"/>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5"/>
    <w:qFormat/>
    <w:uiPriority w:val="0"/>
    <w:pPr>
      <w:keepNext/>
      <w:keepLines/>
      <w:spacing w:before="240" w:after="64" w:line="320" w:lineRule="auto"/>
      <w:outlineLvl w:val="8"/>
    </w:pPr>
    <w:rPr>
      <w:rFonts w:ascii="Arial" w:hAnsi="Arial" w:eastAsia="黑体"/>
      <w:szCs w:val="21"/>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styleId="2">
    <w:name w:val="Body Text"/>
    <w:basedOn w:val="1"/>
    <w:link w:val="78"/>
    <w:qFormat/>
    <w:uiPriority w:val="0"/>
    <w:pPr>
      <w:tabs>
        <w:tab w:val="left" w:pos="574"/>
      </w:tabs>
      <w:spacing w:line="288" w:lineRule="auto"/>
    </w:pPr>
    <w:rPr>
      <w:rFonts w:ascii="宋体" w:hAnsi="宋体"/>
      <w:szCs w:val="20"/>
    </w:rPr>
  </w:style>
  <w:style w:type="paragraph" w:styleId="6">
    <w:name w:val="Normal Indent"/>
    <w:basedOn w:val="1"/>
    <w:link w:val="68"/>
    <w:qFormat/>
    <w:uiPriority w:val="0"/>
    <w:pPr>
      <w:ind w:firstLine="420"/>
    </w:pPr>
    <w:rPr>
      <w:rFonts w:eastAsia="仿宋_GB2312"/>
      <w:kern w:val="0"/>
      <w:sz w:val="32"/>
      <w:szCs w:val="20"/>
    </w:rPr>
  </w:style>
  <w:style w:type="paragraph" w:styleId="13">
    <w:name w:val="toc 7"/>
    <w:basedOn w:val="1"/>
    <w:next w:val="1"/>
    <w:unhideWhenUsed/>
    <w:qFormat/>
    <w:uiPriority w:val="0"/>
    <w:pPr>
      <w:ind w:left="2520" w:leftChars="1200"/>
    </w:pPr>
    <w:rPr>
      <w:rFonts w:ascii="Calibri" w:hAnsi="Calibri"/>
      <w:szCs w:val="22"/>
    </w:rPr>
  </w:style>
  <w:style w:type="paragraph" w:styleId="14">
    <w:name w:val="annotation text"/>
    <w:basedOn w:val="1"/>
    <w:link w:val="64"/>
    <w:qFormat/>
    <w:uiPriority w:val="0"/>
    <w:pPr>
      <w:jc w:val="left"/>
    </w:pPr>
    <w:rPr>
      <w:rFonts w:ascii="宋体" w:hAnsi="宋体"/>
    </w:rPr>
  </w:style>
  <w:style w:type="paragraph" w:styleId="15">
    <w:name w:val="Body Text 3"/>
    <w:basedOn w:val="1"/>
    <w:link w:val="86"/>
    <w:qFormat/>
    <w:uiPriority w:val="0"/>
    <w:pPr>
      <w:spacing w:line="360" w:lineRule="auto"/>
      <w:jc w:val="center"/>
    </w:pPr>
    <w:rPr>
      <w:rFonts w:ascii="宋体" w:hAnsi="宋体"/>
      <w:bCs/>
      <w:iCs/>
      <w:szCs w:val="28"/>
    </w:rPr>
  </w:style>
  <w:style w:type="paragraph" w:styleId="16">
    <w:name w:val="Body Text Indent"/>
    <w:basedOn w:val="1"/>
    <w:link w:val="82"/>
    <w:qFormat/>
    <w:uiPriority w:val="0"/>
    <w:pPr>
      <w:ind w:firstLine="600"/>
    </w:pPr>
    <w:rPr>
      <w:rFonts w:eastAsia="仿宋_GB2312"/>
      <w:sz w:val="30"/>
      <w:szCs w:val="20"/>
    </w:rPr>
  </w:style>
  <w:style w:type="paragraph" w:styleId="17">
    <w:name w:val="toc 5"/>
    <w:basedOn w:val="1"/>
    <w:next w:val="1"/>
    <w:unhideWhenUsed/>
    <w:qFormat/>
    <w:uiPriority w:val="0"/>
    <w:pPr>
      <w:ind w:left="1680" w:leftChars="800"/>
    </w:pPr>
    <w:rPr>
      <w:rFonts w:ascii="Calibri" w:hAnsi="Calibri"/>
      <w:szCs w:val="22"/>
    </w:rPr>
  </w:style>
  <w:style w:type="paragraph" w:styleId="18">
    <w:name w:val="toc 3"/>
    <w:basedOn w:val="1"/>
    <w:next w:val="1"/>
    <w:qFormat/>
    <w:uiPriority w:val="0"/>
    <w:pPr>
      <w:ind w:left="840" w:leftChars="400"/>
    </w:pPr>
    <w:rPr>
      <w:rFonts w:eastAsia="仿宋_GB2312"/>
      <w:sz w:val="32"/>
      <w:szCs w:val="20"/>
    </w:rPr>
  </w:style>
  <w:style w:type="paragraph" w:styleId="19">
    <w:name w:val="Plain Text"/>
    <w:basedOn w:val="1"/>
    <w:link w:val="91"/>
    <w:qFormat/>
    <w:uiPriority w:val="0"/>
    <w:rPr>
      <w:rFonts w:ascii="宋体" w:hAnsi="Courier New"/>
      <w:szCs w:val="20"/>
    </w:rPr>
  </w:style>
  <w:style w:type="paragraph" w:styleId="20">
    <w:name w:val="toc 8"/>
    <w:basedOn w:val="1"/>
    <w:next w:val="1"/>
    <w:qFormat/>
    <w:uiPriority w:val="0"/>
    <w:pPr>
      <w:ind w:left="2940" w:leftChars="1400"/>
    </w:pPr>
    <w:rPr>
      <w:rFonts w:eastAsia="仿宋_GB2312"/>
      <w:sz w:val="32"/>
      <w:szCs w:val="20"/>
    </w:rPr>
  </w:style>
  <w:style w:type="paragraph" w:styleId="21">
    <w:name w:val="Date"/>
    <w:basedOn w:val="1"/>
    <w:next w:val="1"/>
    <w:link w:val="93"/>
    <w:unhideWhenUsed/>
    <w:qFormat/>
    <w:uiPriority w:val="0"/>
    <w:pPr>
      <w:ind w:left="100" w:leftChars="2500"/>
    </w:pPr>
  </w:style>
  <w:style w:type="paragraph" w:styleId="22">
    <w:name w:val="Body Text Indent 2"/>
    <w:basedOn w:val="1"/>
    <w:link w:val="76"/>
    <w:qFormat/>
    <w:uiPriority w:val="0"/>
    <w:pPr>
      <w:ind w:firstLine="600"/>
    </w:pPr>
    <w:rPr>
      <w:rFonts w:eastAsia="仿宋_GB2312"/>
      <w:color w:val="000080"/>
      <w:sz w:val="30"/>
      <w:szCs w:val="20"/>
    </w:rPr>
  </w:style>
  <w:style w:type="paragraph" w:styleId="23">
    <w:name w:val="Balloon Text"/>
    <w:basedOn w:val="1"/>
    <w:link w:val="77"/>
    <w:qFormat/>
    <w:uiPriority w:val="0"/>
    <w:rPr>
      <w:rFonts w:eastAsia="仿宋_GB2312"/>
      <w:sz w:val="18"/>
      <w:szCs w:val="18"/>
    </w:rPr>
  </w:style>
  <w:style w:type="paragraph" w:styleId="24">
    <w:name w:val="footer"/>
    <w:basedOn w:val="1"/>
    <w:link w:val="89"/>
    <w:unhideWhenUsed/>
    <w:qFormat/>
    <w:uiPriority w:val="0"/>
    <w:pPr>
      <w:tabs>
        <w:tab w:val="center" w:pos="4153"/>
        <w:tab w:val="right" w:pos="8306"/>
      </w:tabs>
      <w:snapToGrid w:val="0"/>
      <w:jc w:val="left"/>
    </w:pPr>
    <w:rPr>
      <w:rFonts w:ascii="Calibri" w:hAnsi="Calibri"/>
      <w:sz w:val="18"/>
      <w:szCs w:val="18"/>
    </w:rPr>
  </w:style>
  <w:style w:type="paragraph" w:styleId="25">
    <w:name w:val="header"/>
    <w:basedOn w:val="1"/>
    <w:link w:val="6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26">
    <w:name w:val="toc 1"/>
    <w:basedOn w:val="1"/>
    <w:next w:val="1"/>
    <w:qFormat/>
    <w:uiPriority w:val="0"/>
    <w:pPr>
      <w:tabs>
        <w:tab w:val="right" w:leader="dot" w:pos="9232"/>
      </w:tabs>
      <w:spacing w:before="120" w:after="120" w:line="240" w:lineRule="atLeast"/>
      <w:jc w:val="left"/>
    </w:pPr>
    <w:rPr>
      <w:rFonts w:ascii="宋体" w:hAnsi="宋体"/>
      <w:bCs/>
      <w:caps/>
      <w:color w:val="000000"/>
      <w:sz w:val="24"/>
    </w:rPr>
  </w:style>
  <w:style w:type="paragraph" w:styleId="27">
    <w:name w:val="toc 4"/>
    <w:basedOn w:val="1"/>
    <w:next w:val="1"/>
    <w:qFormat/>
    <w:uiPriority w:val="0"/>
    <w:pPr>
      <w:ind w:left="1260" w:leftChars="600"/>
    </w:pPr>
    <w:rPr>
      <w:rFonts w:eastAsia="仿宋_GB2312"/>
      <w:sz w:val="32"/>
      <w:szCs w:val="20"/>
    </w:rPr>
  </w:style>
  <w:style w:type="paragraph" w:styleId="28">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29">
    <w:name w:val="footnote text"/>
    <w:basedOn w:val="1"/>
    <w:link w:val="61"/>
    <w:semiHidden/>
    <w:qFormat/>
    <w:uiPriority w:val="0"/>
    <w:pPr>
      <w:snapToGrid w:val="0"/>
      <w:jc w:val="left"/>
    </w:pPr>
    <w:rPr>
      <w:rFonts w:eastAsia="仿宋_GB2312"/>
      <w:sz w:val="18"/>
      <w:szCs w:val="20"/>
    </w:rPr>
  </w:style>
  <w:style w:type="paragraph" w:styleId="30">
    <w:name w:val="toc 6"/>
    <w:basedOn w:val="1"/>
    <w:next w:val="1"/>
    <w:unhideWhenUsed/>
    <w:qFormat/>
    <w:uiPriority w:val="0"/>
    <w:pPr>
      <w:ind w:left="2100" w:leftChars="1000"/>
    </w:pPr>
    <w:rPr>
      <w:rFonts w:ascii="Calibri" w:hAnsi="Calibri"/>
      <w:szCs w:val="22"/>
    </w:rPr>
  </w:style>
  <w:style w:type="paragraph" w:styleId="31">
    <w:name w:val="Body Text Indent 3"/>
    <w:basedOn w:val="1"/>
    <w:link w:val="90"/>
    <w:qFormat/>
    <w:uiPriority w:val="0"/>
    <w:pPr>
      <w:ind w:firstLine="600"/>
    </w:pPr>
    <w:rPr>
      <w:rFonts w:eastAsia="仿宋_GB2312"/>
      <w:sz w:val="28"/>
      <w:szCs w:val="20"/>
    </w:rPr>
  </w:style>
  <w:style w:type="paragraph" w:styleId="32">
    <w:name w:val="toc 2"/>
    <w:basedOn w:val="1"/>
    <w:next w:val="1"/>
    <w:qFormat/>
    <w:uiPriority w:val="0"/>
    <w:pPr>
      <w:tabs>
        <w:tab w:val="left" w:pos="1148"/>
        <w:tab w:val="right" w:leader="dot" w:pos="9232"/>
      </w:tabs>
      <w:ind w:left="320"/>
      <w:jc w:val="left"/>
    </w:pPr>
    <w:rPr>
      <w:rFonts w:ascii="黑体" w:eastAsia="黑体"/>
      <w:smallCaps/>
      <w:szCs w:val="21"/>
    </w:rPr>
  </w:style>
  <w:style w:type="paragraph" w:styleId="33">
    <w:name w:val="toc 9"/>
    <w:basedOn w:val="1"/>
    <w:next w:val="1"/>
    <w:unhideWhenUsed/>
    <w:qFormat/>
    <w:uiPriority w:val="0"/>
    <w:pPr>
      <w:ind w:left="3360" w:leftChars="1600"/>
    </w:pPr>
    <w:rPr>
      <w:rFonts w:ascii="Calibri" w:hAnsi="Calibri"/>
      <w:szCs w:val="22"/>
    </w:rPr>
  </w:style>
  <w:style w:type="paragraph" w:styleId="34">
    <w:name w:val="Body Text 2"/>
    <w:basedOn w:val="1"/>
    <w:link w:val="87"/>
    <w:uiPriority w:val="0"/>
    <w:pPr>
      <w:jc w:val="center"/>
    </w:pPr>
    <w:rPr>
      <w:b/>
      <w:bCs/>
      <w:sz w:val="28"/>
      <w:szCs w:val="20"/>
    </w:rPr>
  </w:style>
  <w:style w:type="paragraph" w:styleId="35">
    <w:name w:val="Normal (Web)"/>
    <w:basedOn w:val="1"/>
    <w:next w:val="19"/>
    <w:qFormat/>
    <w:uiPriority w:val="0"/>
    <w:pPr>
      <w:widowControl/>
      <w:spacing w:before="100" w:beforeAutospacing="1" w:after="100" w:afterAutospacing="1"/>
      <w:jc w:val="left"/>
    </w:pPr>
    <w:rPr>
      <w:rFonts w:ascii="宋体" w:hAnsi="宋体"/>
      <w:kern w:val="0"/>
      <w:sz w:val="24"/>
    </w:rPr>
  </w:style>
  <w:style w:type="paragraph" w:styleId="36">
    <w:name w:val="Title"/>
    <w:basedOn w:val="1"/>
    <w:link w:val="88"/>
    <w:qFormat/>
    <w:uiPriority w:val="0"/>
    <w:pPr>
      <w:spacing w:before="240" w:after="60"/>
      <w:jc w:val="center"/>
      <w:outlineLvl w:val="0"/>
    </w:pPr>
    <w:rPr>
      <w:rFonts w:ascii="Arial" w:hAnsi="Arial" w:cs="Arial"/>
      <w:b/>
      <w:bCs/>
      <w:sz w:val="32"/>
      <w:szCs w:val="32"/>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qFormat/>
    <w:uiPriority w:val="0"/>
    <w:rPr>
      <w:rFonts w:ascii="Calibri" w:hAnsi="Calibri" w:eastAsia="宋体" w:cs="Times New Roman"/>
    </w:rPr>
  </w:style>
  <w:style w:type="character" w:styleId="41">
    <w:name w:val="FollowedHyperlink"/>
    <w:basedOn w:val="39"/>
    <w:qFormat/>
    <w:uiPriority w:val="0"/>
    <w:rPr>
      <w:rFonts w:ascii="Calibri" w:hAnsi="Calibri" w:eastAsia="宋体" w:cs="Times New Roman"/>
      <w:color w:val="000000"/>
      <w:u w:val="none"/>
    </w:rPr>
  </w:style>
  <w:style w:type="character" w:styleId="42">
    <w:name w:val="Hyperlink"/>
    <w:basedOn w:val="39"/>
    <w:qFormat/>
    <w:uiPriority w:val="0"/>
    <w:rPr>
      <w:rFonts w:ascii="Calibri" w:hAnsi="Calibri" w:eastAsia="宋体" w:cs="Times New Roman"/>
      <w:color w:val="000000"/>
      <w:u w:val="none"/>
    </w:rPr>
  </w:style>
  <w:style w:type="character" w:styleId="43">
    <w:name w:val="annotation reference"/>
    <w:basedOn w:val="39"/>
    <w:qFormat/>
    <w:uiPriority w:val="0"/>
    <w:rPr>
      <w:rFonts w:ascii="Calibri" w:hAnsi="Calibri" w:eastAsia="宋体" w:cs="Times New Roman"/>
      <w:sz w:val="21"/>
      <w:szCs w:val="21"/>
    </w:rPr>
  </w:style>
  <w:style w:type="paragraph" w:customStyle="1" w:styleId="44">
    <w:name w:val=" Char1"/>
    <w:basedOn w:val="1"/>
    <w:qFormat/>
    <w:uiPriority w:val="0"/>
    <w:pPr>
      <w:jc w:val="center"/>
    </w:pPr>
  </w:style>
  <w:style w:type="paragraph" w:customStyle="1" w:styleId="45">
    <w:name w:val="WPSOffice手动目录 1"/>
    <w:qFormat/>
    <w:uiPriority w:val="0"/>
    <w:rPr>
      <w:rFonts w:ascii="Calibri" w:hAnsi="Calibri" w:eastAsia="宋体" w:cs="Times New Roman"/>
      <w:lang w:val="en-US" w:eastAsia="zh-CN" w:bidi="ar-SA"/>
    </w:rPr>
  </w:style>
  <w:style w:type="paragraph" w:customStyle="1" w:styleId="46">
    <w:name w:val="标题4"/>
    <w:basedOn w:val="1"/>
    <w:qFormat/>
    <w:uiPriority w:val="0"/>
    <w:rPr>
      <w:rFonts w:eastAsia="仿宋_GB2312"/>
      <w:sz w:val="32"/>
      <w:szCs w:val="20"/>
    </w:rPr>
  </w:style>
  <w:style w:type="paragraph" w:customStyle="1" w:styleId="47">
    <w:name w:val="Table Paragraph"/>
    <w:basedOn w:val="1"/>
    <w:qFormat/>
    <w:uiPriority w:val="1"/>
    <w:rPr>
      <w:rFonts w:ascii="宋体" w:hAnsi="宋体" w:eastAsia="宋体" w:cs="宋体"/>
      <w:lang w:val="zh-CN" w:eastAsia="zh-CN" w:bidi="zh-CN"/>
    </w:rPr>
  </w:style>
  <w:style w:type="paragraph" w:customStyle="1" w:styleId="48">
    <w:name w:val="Char"/>
    <w:basedOn w:val="1"/>
    <w:qFormat/>
    <w:uiPriority w:val="0"/>
    <w:rPr>
      <w:sz w:val="24"/>
    </w:rPr>
  </w:style>
  <w:style w:type="paragraph" w:customStyle="1" w:styleId="49">
    <w:name w:val=" Char"/>
    <w:basedOn w:val="1"/>
    <w:qFormat/>
    <w:uiPriority w:val="0"/>
    <w:rPr>
      <w:rFonts w:eastAsia="仿宋_GB2312"/>
      <w:sz w:val="32"/>
      <w:szCs w:val="20"/>
    </w:rPr>
  </w:style>
  <w:style w:type="paragraph" w:customStyle="1" w:styleId="50">
    <w:name w:val="样式 标题 2 + Times New Roman 四号 非加粗 段前: 5 磅 段后: 0 磅 行距: 固定值 20..."/>
    <w:basedOn w:val="4"/>
    <w:next w:val="1"/>
    <w:qFormat/>
    <w:uiPriority w:val="0"/>
    <w:pPr>
      <w:spacing w:before="100" w:line="400" w:lineRule="exact"/>
      <w:jc w:val="both"/>
    </w:pPr>
    <w:rPr>
      <w:rFonts w:ascii="Times New Roman" w:hAnsi="Times New Roman" w:cs="宋体"/>
      <w:b w:val="0"/>
      <w:bCs w:val="0"/>
      <w:snapToGrid/>
      <w:color w:val="auto"/>
      <w:spacing w:val="0"/>
      <w:kern w:val="2"/>
      <w:sz w:val="28"/>
      <w:szCs w:val="20"/>
    </w:rPr>
  </w:style>
  <w:style w:type="paragraph" w:customStyle="1" w:styleId="51">
    <w:name w:val="简单回函地址"/>
    <w:basedOn w:val="1"/>
    <w:qFormat/>
    <w:uiPriority w:val="0"/>
    <w:rPr>
      <w:rFonts w:eastAsia="仿宋_GB2312"/>
      <w:sz w:val="32"/>
      <w:szCs w:val="20"/>
    </w:rPr>
  </w:style>
  <w:style w:type="paragraph" w:customStyle="1" w:styleId="52">
    <w:name w:val="Char1"/>
    <w:basedOn w:val="1"/>
    <w:qFormat/>
    <w:uiPriority w:val="0"/>
    <w:pPr>
      <w:jc w:val="center"/>
    </w:pPr>
    <w:rPr>
      <w:rFonts w:ascii="仿宋_GB2312" w:eastAsia="仿宋_GB2312"/>
      <w:b/>
      <w:kern w:val="0"/>
      <w:sz w:val="32"/>
      <w:szCs w:val="32"/>
      <w:lang w:val="en-GB"/>
    </w:rPr>
  </w:style>
  <w:style w:type="paragraph" w:customStyle="1" w:styleId="53">
    <w:name w:val="WPSOffice手动目录 2"/>
    <w:qFormat/>
    <w:uiPriority w:val="0"/>
    <w:pPr>
      <w:ind w:leftChars="200"/>
    </w:pPr>
    <w:rPr>
      <w:rFonts w:ascii="Calibri" w:hAnsi="Calibri" w:eastAsia="宋体" w:cs="Times New Roman"/>
      <w:lang w:val="en-US" w:eastAsia="zh-CN" w:bidi="ar-SA"/>
    </w:rPr>
  </w:style>
  <w:style w:type="paragraph" w:customStyle="1" w:styleId="54">
    <w:name w:val="Char2"/>
    <w:basedOn w:val="1"/>
    <w:qFormat/>
    <w:uiPriority w:val="0"/>
    <w:rPr>
      <w:rFonts w:ascii="仿宋_GB2312" w:eastAsia="仿宋_GB2312"/>
      <w:b/>
      <w:sz w:val="32"/>
      <w:szCs w:val="32"/>
    </w:rPr>
  </w:style>
  <w:style w:type="paragraph" w:styleId="55">
    <w:name w:val="List Paragraph"/>
    <w:basedOn w:val="1"/>
    <w:qFormat/>
    <w:uiPriority w:val="0"/>
    <w:pPr>
      <w:ind w:firstLine="420" w:firstLineChars="200"/>
    </w:pPr>
    <w:rPr>
      <w:rFonts w:ascii="Calibri" w:hAnsi="Calibri"/>
      <w:szCs w:val="22"/>
    </w:rPr>
  </w:style>
  <w:style w:type="paragraph" w:customStyle="1" w:styleId="56">
    <w:name w:val="标题2"/>
    <w:basedOn w:val="36"/>
    <w:qFormat/>
    <w:uiPriority w:val="0"/>
    <w:pPr>
      <w:spacing w:after="240"/>
      <w:jc w:val="left"/>
    </w:pPr>
    <w:rPr>
      <w:rFonts w:ascii="Cambria" w:hAnsi="Cambria" w:cs="Times New Roman"/>
      <w:sz w:val="30"/>
      <w:szCs w:val="24"/>
    </w:rPr>
  </w:style>
  <w:style w:type="character" w:customStyle="1" w:styleId="57">
    <w:name w:val="first-child"/>
    <w:basedOn w:val="39"/>
    <w:qFormat/>
    <w:uiPriority w:val="0"/>
    <w:rPr>
      <w:rFonts w:ascii="Calibri" w:hAnsi="Calibri" w:eastAsia="宋体" w:cs="Times New Roman"/>
    </w:rPr>
  </w:style>
  <w:style w:type="character" w:customStyle="1" w:styleId="58">
    <w:name w:val="lawsitemtext"/>
    <w:basedOn w:val="39"/>
    <w:qFormat/>
    <w:uiPriority w:val="0"/>
    <w:rPr>
      <w:rFonts w:ascii="Calibri" w:hAnsi="Calibri" w:eastAsia="宋体" w:cs="Times New Roman"/>
    </w:rPr>
  </w:style>
  <w:style w:type="character" w:customStyle="1" w:styleId="59">
    <w:name w:val="标题 1 Char"/>
    <w:link w:val="3"/>
    <w:qFormat/>
    <w:uiPriority w:val="0"/>
    <w:rPr>
      <w:rFonts w:ascii="黑体" w:hAnsi="宋体" w:eastAsia="黑体" w:cs="Times New Roman"/>
      <w:b/>
      <w:kern w:val="44"/>
      <w:sz w:val="32"/>
      <w:szCs w:val="32"/>
    </w:rPr>
  </w:style>
  <w:style w:type="character" w:customStyle="1" w:styleId="60">
    <w:name w:val="标题 4 Char"/>
    <w:link w:val="7"/>
    <w:qFormat/>
    <w:uiPriority w:val="0"/>
    <w:rPr>
      <w:rFonts w:ascii="Arial" w:hAnsi="Arial" w:eastAsia="黑体" w:cs="Times New Roman"/>
      <w:b/>
      <w:bCs/>
      <w:kern w:val="2"/>
      <w:sz w:val="28"/>
      <w:szCs w:val="28"/>
      <w:lang w:val="en-US" w:eastAsia="zh-CN" w:bidi="ar-SA"/>
    </w:rPr>
  </w:style>
  <w:style w:type="character" w:customStyle="1" w:styleId="61">
    <w:name w:val="脚注文本 Char"/>
    <w:link w:val="29"/>
    <w:semiHidden/>
    <w:qFormat/>
    <w:uiPriority w:val="0"/>
    <w:rPr>
      <w:rFonts w:ascii="Calibri" w:hAnsi="Calibri" w:eastAsia="仿宋_GB2312" w:cs="Times New Roman"/>
      <w:kern w:val="2"/>
      <w:sz w:val="18"/>
      <w:lang w:val="en-US" w:eastAsia="zh-CN" w:bidi="ar-SA"/>
    </w:rPr>
  </w:style>
  <w:style w:type="character" w:customStyle="1" w:styleId="62">
    <w:name w:val="标题 6 Char"/>
    <w:link w:val="9"/>
    <w:qFormat/>
    <w:uiPriority w:val="0"/>
    <w:rPr>
      <w:rFonts w:ascii="Arial" w:hAnsi="Arial" w:eastAsia="黑体" w:cs="Times New Roman"/>
      <w:b/>
      <w:bCs/>
      <w:kern w:val="2"/>
      <w:sz w:val="24"/>
      <w:szCs w:val="24"/>
      <w:lang w:val="en-US" w:eastAsia="zh-CN" w:bidi="ar-SA"/>
    </w:rPr>
  </w:style>
  <w:style w:type="character" w:customStyle="1" w:styleId="63">
    <w:name w:val="页眉 Char"/>
    <w:link w:val="25"/>
    <w:qFormat/>
    <w:uiPriority w:val="99"/>
    <w:rPr>
      <w:rFonts w:ascii="Calibri" w:hAnsi="Calibri" w:eastAsia="宋体" w:cs="Times New Roman"/>
      <w:kern w:val="2"/>
      <w:sz w:val="18"/>
      <w:szCs w:val="18"/>
      <w:lang w:val="en-US" w:eastAsia="zh-CN" w:bidi="ar-SA"/>
    </w:rPr>
  </w:style>
  <w:style w:type="character" w:customStyle="1" w:styleId="64">
    <w:name w:val="批注文字 Char"/>
    <w:link w:val="14"/>
    <w:qFormat/>
    <w:uiPriority w:val="0"/>
    <w:rPr>
      <w:rFonts w:ascii="宋体" w:hAnsi="宋体" w:eastAsia="宋体" w:cs="Times New Roman"/>
      <w:kern w:val="2"/>
      <w:sz w:val="21"/>
      <w:szCs w:val="24"/>
    </w:rPr>
  </w:style>
  <w:style w:type="character" w:customStyle="1" w:styleId="65">
    <w:name w:val="标题 9 Char"/>
    <w:link w:val="12"/>
    <w:qFormat/>
    <w:uiPriority w:val="0"/>
    <w:rPr>
      <w:rFonts w:ascii="Arial" w:hAnsi="Arial" w:eastAsia="黑体" w:cs="Times New Roman"/>
      <w:kern w:val="2"/>
      <w:sz w:val="21"/>
      <w:szCs w:val="21"/>
      <w:lang w:val="en-US" w:eastAsia="zh-CN" w:bidi="ar-SA"/>
    </w:rPr>
  </w:style>
  <w:style w:type="character" w:customStyle="1" w:styleId="66">
    <w:name w:val="标题 7 Char"/>
    <w:link w:val="10"/>
    <w:qFormat/>
    <w:uiPriority w:val="0"/>
    <w:rPr>
      <w:rFonts w:ascii="Calibri" w:hAnsi="Calibri" w:eastAsia="仿宋_GB2312" w:cs="Times New Roman"/>
      <w:b/>
      <w:bCs/>
      <w:kern w:val="2"/>
      <w:sz w:val="24"/>
      <w:szCs w:val="24"/>
      <w:lang w:val="en-US" w:eastAsia="zh-CN" w:bidi="ar-SA"/>
    </w:rPr>
  </w:style>
  <w:style w:type="character" w:customStyle="1" w:styleId="67">
    <w:name w:val="标题 3 Char"/>
    <w:link w:val="5"/>
    <w:qFormat/>
    <w:uiPriority w:val="0"/>
    <w:rPr>
      <w:rFonts w:ascii="黑体" w:hAnsi="宋体" w:eastAsia="黑体" w:cs="Times New Roman"/>
      <w:b/>
      <w:kern w:val="2"/>
      <w:sz w:val="21"/>
      <w:lang w:val="en-US" w:eastAsia="zh-CN" w:bidi="ar-SA"/>
    </w:rPr>
  </w:style>
  <w:style w:type="character" w:customStyle="1" w:styleId="68">
    <w:name w:val="正文缩进 Char"/>
    <w:link w:val="6"/>
    <w:qFormat/>
    <w:uiPriority w:val="0"/>
    <w:rPr>
      <w:rFonts w:ascii="Calibri" w:hAnsi="Calibri" w:eastAsia="仿宋_GB2312" w:cs="Times New Roman"/>
      <w:sz w:val="32"/>
      <w:lang w:bidi="ar-SA"/>
    </w:rPr>
  </w:style>
  <w:style w:type="character" w:customStyle="1" w:styleId="69">
    <w:name w:val="publishtime"/>
    <w:basedOn w:val="39"/>
    <w:qFormat/>
    <w:uiPriority w:val="0"/>
    <w:rPr>
      <w:rFonts w:ascii="Calibri" w:hAnsi="Calibri" w:eastAsia="宋体" w:cs="Times New Roman"/>
      <w:color w:val="666666"/>
    </w:rPr>
  </w:style>
  <w:style w:type="character" w:customStyle="1" w:styleId="70">
    <w:name w:val="批注文字 Char1"/>
    <w:qFormat/>
    <w:uiPriority w:val="0"/>
    <w:rPr>
      <w:rFonts w:ascii="Calibri" w:hAnsi="Calibri" w:eastAsia="宋体" w:cs="Times New Roman"/>
      <w:kern w:val="2"/>
      <w:sz w:val="21"/>
      <w:szCs w:val="24"/>
    </w:rPr>
  </w:style>
  <w:style w:type="character" w:customStyle="1" w:styleId="71">
    <w:name w:val="text-overflow1"/>
    <w:basedOn w:val="39"/>
    <w:qFormat/>
    <w:uiPriority w:val="0"/>
    <w:rPr>
      <w:rFonts w:ascii="Calibri" w:hAnsi="Calibri" w:eastAsia="宋体" w:cs="Times New Roman"/>
    </w:rPr>
  </w:style>
  <w:style w:type="character" w:customStyle="1" w:styleId="72">
    <w:name w:val="focus2"/>
    <w:basedOn w:val="39"/>
    <w:qFormat/>
    <w:uiPriority w:val="0"/>
    <w:rPr>
      <w:rFonts w:ascii="Calibri" w:hAnsi="Calibri" w:eastAsia="宋体" w:cs="Times New Roman"/>
      <w:color w:val="23527C"/>
      <w:shd w:val="clear" w:color="auto" w:fill="EEEEEE"/>
    </w:rPr>
  </w:style>
  <w:style w:type="character" w:customStyle="1" w:styleId="73">
    <w:name w:val="second-line"/>
    <w:basedOn w:val="39"/>
    <w:qFormat/>
    <w:uiPriority w:val="0"/>
    <w:rPr>
      <w:rFonts w:ascii="Calibri" w:hAnsi="Calibri" w:eastAsia="宋体" w:cs="Times New Roman"/>
      <w:color w:val="727272"/>
    </w:rPr>
  </w:style>
  <w:style w:type="character" w:customStyle="1" w:styleId="74">
    <w:name w:val="hover8"/>
    <w:basedOn w:val="39"/>
    <w:qFormat/>
    <w:uiPriority w:val="0"/>
    <w:rPr>
      <w:rFonts w:ascii="Calibri" w:hAnsi="Calibri" w:eastAsia="宋体" w:cs="Times New Roman"/>
      <w:color w:val="23527C"/>
      <w:shd w:val="clear" w:color="auto" w:fill="EEEEEE"/>
    </w:rPr>
  </w:style>
  <w:style w:type="character" w:customStyle="1" w:styleId="75">
    <w:name w:val="focus3"/>
    <w:basedOn w:val="39"/>
    <w:qFormat/>
    <w:uiPriority w:val="0"/>
    <w:rPr>
      <w:rFonts w:ascii="Calibri" w:hAnsi="Calibri" w:eastAsia="宋体" w:cs="Times New Roman"/>
      <w:color w:val="777777"/>
      <w:shd w:val="clear" w:color="auto" w:fill="FFFFFF"/>
    </w:rPr>
  </w:style>
  <w:style w:type="character" w:customStyle="1" w:styleId="76">
    <w:name w:val="正文文本缩进 2 Char"/>
    <w:link w:val="22"/>
    <w:qFormat/>
    <w:uiPriority w:val="0"/>
    <w:rPr>
      <w:rFonts w:ascii="Calibri" w:hAnsi="Calibri" w:eastAsia="仿宋_GB2312" w:cs="Times New Roman"/>
      <w:color w:val="000080"/>
      <w:kern w:val="2"/>
      <w:sz w:val="30"/>
      <w:lang w:val="en-US" w:eastAsia="zh-CN" w:bidi="ar-SA"/>
    </w:rPr>
  </w:style>
  <w:style w:type="character" w:customStyle="1" w:styleId="77">
    <w:name w:val="批注框文本 Char"/>
    <w:link w:val="23"/>
    <w:qFormat/>
    <w:uiPriority w:val="0"/>
    <w:rPr>
      <w:rFonts w:ascii="Calibri" w:hAnsi="Calibri" w:eastAsia="仿宋_GB2312" w:cs="Times New Roman"/>
      <w:kern w:val="2"/>
      <w:sz w:val="18"/>
      <w:szCs w:val="18"/>
      <w:lang w:val="en-US" w:eastAsia="zh-CN" w:bidi="ar-SA"/>
    </w:rPr>
  </w:style>
  <w:style w:type="character" w:customStyle="1" w:styleId="78">
    <w:name w:val="正文文本 Char"/>
    <w:link w:val="2"/>
    <w:qFormat/>
    <w:uiPriority w:val="0"/>
    <w:rPr>
      <w:rFonts w:ascii="宋体" w:hAnsi="宋体" w:eastAsia="宋体" w:cs="Times New Roman"/>
      <w:kern w:val="2"/>
      <w:sz w:val="21"/>
      <w:lang w:val="en-US" w:eastAsia="zh-CN" w:bidi="ar-SA"/>
    </w:rPr>
  </w:style>
  <w:style w:type="character" w:customStyle="1" w:styleId="79">
    <w:name w:val="标题 2 Char1"/>
    <w:qFormat/>
    <w:uiPriority w:val="0"/>
    <w:rPr>
      <w:rFonts w:ascii="黑体" w:hAnsi="宋体" w:eastAsia="黑体" w:cs="Times New Roman"/>
      <w:b/>
      <w:bCs/>
      <w:snapToGrid w:val="0"/>
      <w:color w:val="000000"/>
      <w:spacing w:val="-6"/>
      <w:kern w:val="0"/>
      <w:sz w:val="44"/>
      <w:szCs w:val="44"/>
    </w:rPr>
  </w:style>
  <w:style w:type="character" w:customStyle="1" w:styleId="80">
    <w:name w:val="lawsitemtitle1"/>
    <w:qFormat/>
    <w:uiPriority w:val="0"/>
    <w:rPr>
      <w:rFonts w:ascii="Calibri" w:hAnsi="Calibri" w:eastAsia="宋体" w:cs="Times New Roman"/>
      <w:b/>
      <w:bCs/>
      <w:color w:val="FF0000"/>
      <w:sz w:val="27"/>
      <w:szCs w:val="27"/>
    </w:rPr>
  </w:style>
  <w:style w:type="character" w:customStyle="1" w:styleId="81">
    <w:name w:val="text-overflow"/>
    <w:basedOn w:val="39"/>
    <w:qFormat/>
    <w:uiPriority w:val="0"/>
    <w:rPr>
      <w:rFonts w:ascii="Calibri" w:hAnsi="Calibri" w:eastAsia="宋体" w:cs="Times New Roman"/>
    </w:rPr>
  </w:style>
  <w:style w:type="character" w:customStyle="1" w:styleId="82">
    <w:name w:val="正文文本缩进 Char"/>
    <w:link w:val="16"/>
    <w:qFormat/>
    <w:uiPriority w:val="0"/>
    <w:rPr>
      <w:rFonts w:ascii="Calibri" w:hAnsi="Calibri" w:eastAsia="仿宋_GB2312" w:cs="Times New Roman"/>
      <w:kern w:val="2"/>
      <w:sz w:val="30"/>
      <w:lang w:val="en-US" w:eastAsia="zh-CN" w:bidi="ar-SA"/>
    </w:rPr>
  </w:style>
  <w:style w:type="character" w:customStyle="1" w:styleId="83">
    <w:name w:val="副标题 Char"/>
    <w:link w:val="28"/>
    <w:qFormat/>
    <w:uiPriority w:val="0"/>
    <w:rPr>
      <w:rFonts w:ascii="Cambria" w:hAnsi="Cambria" w:eastAsia="宋体" w:cs="Times New Roman"/>
      <w:b/>
      <w:bCs/>
      <w:kern w:val="28"/>
      <w:sz w:val="32"/>
      <w:szCs w:val="32"/>
      <w:lang w:val="en-US" w:eastAsia="zh-CN" w:bidi="ar-SA"/>
    </w:rPr>
  </w:style>
  <w:style w:type="character" w:customStyle="1" w:styleId="84">
    <w:name w:val="标题 8 Char"/>
    <w:link w:val="11"/>
    <w:qFormat/>
    <w:uiPriority w:val="0"/>
    <w:rPr>
      <w:rFonts w:ascii="Arial" w:hAnsi="Arial" w:eastAsia="黑体" w:cs="Times New Roman"/>
      <w:kern w:val="2"/>
      <w:sz w:val="24"/>
      <w:szCs w:val="24"/>
      <w:lang w:val="en-US" w:eastAsia="zh-CN" w:bidi="ar-SA"/>
    </w:rPr>
  </w:style>
  <w:style w:type="character" w:customStyle="1" w:styleId="85">
    <w:name w:val="time"/>
    <w:basedOn w:val="39"/>
    <w:qFormat/>
    <w:uiPriority w:val="0"/>
    <w:rPr>
      <w:rFonts w:ascii="Calibri" w:hAnsi="Calibri" w:eastAsia="宋体" w:cs="Times New Roman"/>
      <w:sz w:val="21"/>
      <w:szCs w:val="21"/>
    </w:rPr>
  </w:style>
  <w:style w:type="character" w:customStyle="1" w:styleId="86">
    <w:name w:val="正文文本 3 Char"/>
    <w:link w:val="15"/>
    <w:qFormat/>
    <w:uiPriority w:val="0"/>
    <w:rPr>
      <w:rFonts w:ascii="宋体" w:hAnsi="宋体" w:eastAsia="宋体" w:cs="Times New Roman"/>
      <w:bCs/>
      <w:iCs/>
      <w:kern w:val="2"/>
      <w:sz w:val="21"/>
      <w:szCs w:val="28"/>
      <w:lang w:val="en-US" w:eastAsia="zh-CN" w:bidi="ar-SA"/>
    </w:rPr>
  </w:style>
  <w:style w:type="character" w:customStyle="1" w:styleId="87">
    <w:name w:val="正文文本 2 Char"/>
    <w:link w:val="34"/>
    <w:qFormat/>
    <w:uiPriority w:val="0"/>
    <w:rPr>
      <w:rFonts w:ascii="Calibri" w:hAnsi="Calibri" w:eastAsia="宋体" w:cs="Times New Roman"/>
      <w:b/>
      <w:bCs/>
      <w:kern w:val="2"/>
      <w:sz w:val="28"/>
      <w:lang w:val="en-US" w:eastAsia="zh-CN" w:bidi="ar-SA"/>
    </w:rPr>
  </w:style>
  <w:style w:type="character" w:customStyle="1" w:styleId="88">
    <w:name w:val="标题 Char"/>
    <w:link w:val="36"/>
    <w:qFormat/>
    <w:uiPriority w:val="0"/>
    <w:rPr>
      <w:rFonts w:ascii="Arial" w:hAnsi="Arial" w:eastAsia="宋体" w:cs="Arial"/>
      <w:b/>
      <w:bCs/>
      <w:kern w:val="2"/>
      <w:sz w:val="32"/>
      <w:szCs w:val="32"/>
      <w:lang w:val="en-US" w:eastAsia="zh-CN" w:bidi="ar-SA"/>
    </w:rPr>
  </w:style>
  <w:style w:type="character" w:customStyle="1" w:styleId="89">
    <w:name w:val="页脚 Char"/>
    <w:link w:val="24"/>
    <w:qFormat/>
    <w:uiPriority w:val="0"/>
    <w:rPr>
      <w:rFonts w:ascii="Calibri" w:hAnsi="Calibri" w:eastAsia="宋体" w:cs="Times New Roman"/>
      <w:kern w:val="2"/>
      <w:sz w:val="18"/>
      <w:szCs w:val="18"/>
      <w:lang w:val="en-US" w:eastAsia="zh-CN" w:bidi="ar-SA"/>
    </w:rPr>
  </w:style>
  <w:style w:type="character" w:customStyle="1" w:styleId="90">
    <w:name w:val="正文文本缩进 3 Char"/>
    <w:link w:val="31"/>
    <w:qFormat/>
    <w:uiPriority w:val="0"/>
    <w:rPr>
      <w:rFonts w:ascii="Calibri" w:hAnsi="Calibri" w:eastAsia="仿宋_GB2312" w:cs="Times New Roman"/>
      <w:kern w:val="2"/>
      <w:sz w:val="28"/>
      <w:lang w:val="en-US" w:eastAsia="zh-CN" w:bidi="ar-SA"/>
    </w:rPr>
  </w:style>
  <w:style w:type="character" w:customStyle="1" w:styleId="91">
    <w:name w:val="纯文本 Char"/>
    <w:link w:val="19"/>
    <w:qFormat/>
    <w:uiPriority w:val="0"/>
    <w:rPr>
      <w:rFonts w:ascii="宋体" w:hAnsi="Courier New" w:eastAsia="宋体" w:cs="Times New Roman"/>
      <w:kern w:val="2"/>
      <w:sz w:val="21"/>
      <w:lang w:val="en-US" w:eastAsia="zh-CN" w:bidi="ar-SA"/>
    </w:rPr>
  </w:style>
  <w:style w:type="character" w:customStyle="1" w:styleId="92">
    <w:name w:val="标题 5 Char"/>
    <w:link w:val="8"/>
    <w:qFormat/>
    <w:uiPriority w:val="0"/>
    <w:rPr>
      <w:rFonts w:ascii="Calibri" w:hAnsi="Calibri" w:eastAsia="仿宋_GB2312" w:cs="Times New Roman"/>
      <w:b/>
      <w:bCs/>
      <w:kern w:val="2"/>
      <w:sz w:val="28"/>
      <w:szCs w:val="28"/>
      <w:lang w:val="en-US" w:eastAsia="zh-CN" w:bidi="ar-SA"/>
    </w:rPr>
  </w:style>
  <w:style w:type="character" w:customStyle="1" w:styleId="93">
    <w:name w:val="日期 Char"/>
    <w:link w:val="21"/>
    <w:semiHidden/>
    <w:qFormat/>
    <w:uiPriority w:val="0"/>
    <w:rPr>
      <w:rFonts w:ascii="Calibri" w:hAnsi="Calibri" w:eastAsia="宋体" w:cs="Times New Roman"/>
      <w:kern w:val="2"/>
      <w:sz w:val="21"/>
      <w:szCs w:val="24"/>
      <w:lang w:val="en-US" w:eastAsia="zh-CN" w:bidi="ar-SA"/>
    </w:rPr>
  </w:style>
  <w:style w:type="character" w:customStyle="1" w:styleId="94">
    <w:name w:val="hover9"/>
    <w:basedOn w:val="39"/>
    <w:qFormat/>
    <w:uiPriority w:val="0"/>
    <w:rPr>
      <w:rFonts w:ascii="Calibri" w:hAnsi="Calibri" w:eastAsia="宋体" w:cs="Times New Roman"/>
      <w:color w:val="777777"/>
      <w:shd w:val="clear" w:color="auto" w:fill="FFFFFF"/>
    </w:rPr>
  </w:style>
  <w:style w:type="character" w:customStyle="1" w:styleId="95">
    <w:name w:val="标题 2 Char"/>
    <w:link w:val="4"/>
    <w:qFormat/>
    <w:uiPriority w:val="0"/>
    <w:rPr>
      <w:rFonts w:ascii="黑体" w:hAnsi="宋体" w:eastAsia="黑体" w:cs="Times New Roman"/>
      <w:b/>
      <w:bCs/>
      <w:snapToGrid w:val="0"/>
      <w:color w:val="000000"/>
      <w:spacing w:val="-6"/>
      <w:sz w:val="32"/>
      <w:szCs w:val="32"/>
      <w:lang w:val="en-US" w:eastAsia="zh-CN" w:bidi="ar-SA"/>
    </w:rPr>
  </w:style>
  <w:style w:type="character" w:customStyle="1" w:styleId="96">
    <w:name w:val="publishtime1"/>
    <w:basedOn w:val="39"/>
    <w:qFormat/>
    <w:uiPriority w:val="0"/>
    <w:rPr>
      <w:rFonts w:ascii="Calibri" w:hAnsi="Calibri" w:eastAsia="宋体" w:cs="Times New Roman"/>
      <w:color w:val="66666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_Hom</cp:lastModifiedBy>
  <cp:lastPrinted>2019-04-28T08:40:00Z</cp:lastPrinted>
  <dcterms:modified xsi:type="dcterms:W3CDTF">2020-04-23T08:36:23Z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