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360" w:lineRule="auto"/>
        <w:jc w:val="center"/>
        <w:rPr>
          <w:rFonts w:asciiTheme="minorEastAsia" w:hAnsiTheme="minorEastAsia" w:eastAsiaTheme="minorEastAsia"/>
          <w:b/>
          <w:sz w:val="36"/>
          <w:szCs w:val="36"/>
        </w:rPr>
      </w:pPr>
      <w:bookmarkStart w:id="1" w:name="_GoBack"/>
      <w:bookmarkEnd w:id="1"/>
      <w:r>
        <w:rPr>
          <w:rFonts w:hint="eastAsia" w:asciiTheme="minorEastAsia" w:hAnsiTheme="minorEastAsia" w:eastAsiaTheme="minorEastAsia"/>
          <w:b/>
          <w:sz w:val="36"/>
          <w:szCs w:val="36"/>
        </w:rPr>
        <w:t>公开招标需求</w:t>
      </w:r>
    </w:p>
    <w:p>
      <w:pPr>
        <w:tabs>
          <w:tab w:val="left" w:pos="8280"/>
        </w:tabs>
        <w:autoSpaceDE w:val="0"/>
        <w:autoSpaceDN w:val="0"/>
        <w:adjustRightInd w:val="0"/>
        <w:spacing w:line="400" w:lineRule="exact"/>
        <w:ind w:right="25"/>
        <w:jc w:val="left"/>
        <w:rPr>
          <w:rFonts w:ascii="宋体" w:hAnsi="宋体" w:cs="宋体"/>
          <w:szCs w:val="21"/>
        </w:rPr>
      </w:pPr>
      <w:r>
        <w:rPr>
          <w:rFonts w:hint="eastAsia" w:ascii="宋体" w:hAnsi="宋体" w:cs="宋体"/>
          <w:b/>
          <w:szCs w:val="21"/>
        </w:rPr>
        <w:t>一、采购项目一览表</w:t>
      </w:r>
    </w:p>
    <w:p>
      <w:pPr>
        <w:tabs>
          <w:tab w:val="left" w:pos="8280"/>
        </w:tabs>
        <w:autoSpaceDE w:val="0"/>
        <w:autoSpaceDN w:val="0"/>
        <w:adjustRightInd w:val="0"/>
        <w:spacing w:line="400" w:lineRule="exact"/>
        <w:ind w:right="25" w:firstLine="420" w:firstLineChars="200"/>
        <w:jc w:val="left"/>
        <w:rPr>
          <w:rFonts w:ascii="宋体"/>
          <w:bCs/>
          <w:kern w:val="0"/>
          <w:szCs w:val="21"/>
        </w:rPr>
      </w:pPr>
      <w:r>
        <w:rPr>
          <w:rFonts w:hint="eastAsia" w:ascii="宋体" w:hAnsi="宋体" w:cs="宋体"/>
          <w:szCs w:val="21"/>
        </w:rPr>
        <w:t>本次采购共1个标段，具体内容如下表：</w:t>
      </w:r>
    </w:p>
    <w:tbl>
      <w:tblPr>
        <w:tblStyle w:val="9"/>
        <w:tblW w:w="8474"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829"/>
        <w:gridCol w:w="1360"/>
        <w:gridCol w:w="540"/>
        <w:gridCol w:w="540"/>
        <w:gridCol w:w="1080"/>
        <w:gridCol w:w="1219"/>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96" w:type="dxa"/>
            <w:vAlign w:val="center"/>
          </w:tcPr>
          <w:p>
            <w:pPr>
              <w:tabs>
                <w:tab w:val="left" w:pos="8280"/>
              </w:tabs>
              <w:autoSpaceDE w:val="0"/>
              <w:autoSpaceDN w:val="0"/>
              <w:adjustRightInd w:val="0"/>
              <w:spacing w:line="400" w:lineRule="exact"/>
              <w:ind w:right="25"/>
              <w:jc w:val="center"/>
              <w:rPr>
                <w:rFonts w:ascii="宋体" w:hAnsi="宋体"/>
                <w:b/>
                <w:color w:val="000000"/>
                <w:szCs w:val="21"/>
              </w:rPr>
            </w:pPr>
            <w:r>
              <w:rPr>
                <w:rFonts w:hint="eastAsia" w:ascii="宋体" w:hAnsi="宋体"/>
                <w:b/>
                <w:color w:val="000000"/>
                <w:szCs w:val="21"/>
              </w:rPr>
              <w:t>标段号</w:t>
            </w:r>
          </w:p>
        </w:tc>
        <w:tc>
          <w:tcPr>
            <w:tcW w:w="1829" w:type="dxa"/>
            <w:vAlign w:val="center"/>
          </w:tcPr>
          <w:p>
            <w:pPr>
              <w:tabs>
                <w:tab w:val="left" w:pos="8280"/>
              </w:tabs>
              <w:autoSpaceDE w:val="0"/>
              <w:autoSpaceDN w:val="0"/>
              <w:adjustRightInd w:val="0"/>
              <w:spacing w:line="400" w:lineRule="exact"/>
              <w:ind w:right="25" w:firstLine="105" w:firstLineChars="50"/>
              <w:jc w:val="center"/>
              <w:rPr>
                <w:rFonts w:ascii="宋体" w:hAnsi="宋体"/>
                <w:b/>
                <w:color w:val="000000"/>
                <w:szCs w:val="21"/>
              </w:rPr>
            </w:pPr>
            <w:r>
              <w:rPr>
                <w:rFonts w:hint="eastAsia" w:ascii="宋体" w:hAnsi="宋体"/>
                <w:b/>
                <w:color w:val="000000"/>
                <w:szCs w:val="21"/>
              </w:rPr>
              <w:t>顶目名称</w:t>
            </w:r>
          </w:p>
        </w:tc>
        <w:tc>
          <w:tcPr>
            <w:tcW w:w="1360" w:type="dxa"/>
            <w:vAlign w:val="center"/>
          </w:tcPr>
          <w:p>
            <w:pPr>
              <w:tabs>
                <w:tab w:val="left" w:pos="8280"/>
              </w:tabs>
              <w:autoSpaceDE w:val="0"/>
              <w:autoSpaceDN w:val="0"/>
              <w:adjustRightInd w:val="0"/>
              <w:spacing w:line="400" w:lineRule="exact"/>
              <w:ind w:right="25"/>
              <w:rPr>
                <w:rFonts w:ascii="宋体" w:hAnsi="宋体"/>
                <w:b/>
                <w:color w:val="000000"/>
                <w:szCs w:val="21"/>
              </w:rPr>
            </w:pPr>
            <w:r>
              <w:rPr>
                <w:rFonts w:hint="eastAsia" w:ascii="宋体" w:hAnsi="宋体"/>
                <w:b/>
                <w:color w:val="000000"/>
                <w:szCs w:val="21"/>
              </w:rPr>
              <w:t>规格型号</w:t>
            </w:r>
          </w:p>
        </w:tc>
        <w:tc>
          <w:tcPr>
            <w:tcW w:w="540" w:type="dxa"/>
            <w:vAlign w:val="center"/>
          </w:tcPr>
          <w:p>
            <w:pPr>
              <w:tabs>
                <w:tab w:val="left" w:pos="8280"/>
              </w:tabs>
              <w:autoSpaceDE w:val="0"/>
              <w:autoSpaceDN w:val="0"/>
              <w:adjustRightInd w:val="0"/>
              <w:spacing w:line="400" w:lineRule="exact"/>
              <w:ind w:right="25"/>
              <w:jc w:val="center"/>
              <w:rPr>
                <w:rFonts w:ascii="宋体" w:hAnsi="宋体"/>
                <w:b/>
                <w:color w:val="000000"/>
                <w:szCs w:val="21"/>
              </w:rPr>
            </w:pPr>
            <w:r>
              <w:rPr>
                <w:rFonts w:hint="eastAsia" w:ascii="宋体" w:hAnsi="宋体"/>
                <w:b/>
                <w:color w:val="000000"/>
                <w:szCs w:val="21"/>
              </w:rPr>
              <w:t>数量</w:t>
            </w:r>
          </w:p>
        </w:tc>
        <w:tc>
          <w:tcPr>
            <w:tcW w:w="540" w:type="dxa"/>
            <w:vAlign w:val="center"/>
          </w:tcPr>
          <w:p>
            <w:pPr>
              <w:tabs>
                <w:tab w:val="left" w:pos="8280"/>
              </w:tabs>
              <w:autoSpaceDE w:val="0"/>
              <w:autoSpaceDN w:val="0"/>
              <w:adjustRightInd w:val="0"/>
              <w:spacing w:line="400" w:lineRule="exact"/>
              <w:ind w:right="25"/>
              <w:jc w:val="center"/>
              <w:rPr>
                <w:rFonts w:ascii="宋体" w:hAnsi="宋体"/>
                <w:b/>
                <w:color w:val="000000"/>
                <w:szCs w:val="21"/>
              </w:rPr>
            </w:pPr>
            <w:r>
              <w:rPr>
                <w:rFonts w:hint="eastAsia" w:ascii="宋体" w:hAnsi="宋体"/>
                <w:b/>
                <w:color w:val="000000"/>
                <w:szCs w:val="21"/>
              </w:rPr>
              <w:t>单位</w:t>
            </w:r>
          </w:p>
        </w:tc>
        <w:tc>
          <w:tcPr>
            <w:tcW w:w="1080" w:type="dxa"/>
            <w:vAlign w:val="center"/>
          </w:tcPr>
          <w:p>
            <w:pPr>
              <w:tabs>
                <w:tab w:val="left" w:pos="8280"/>
              </w:tabs>
              <w:autoSpaceDE w:val="0"/>
              <w:autoSpaceDN w:val="0"/>
              <w:adjustRightInd w:val="0"/>
              <w:spacing w:line="400" w:lineRule="exact"/>
              <w:ind w:right="25"/>
              <w:jc w:val="center"/>
              <w:rPr>
                <w:rFonts w:ascii="宋体" w:hAnsi="宋体"/>
                <w:b/>
                <w:szCs w:val="21"/>
              </w:rPr>
            </w:pPr>
            <w:r>
              <w:rPr>
                <w:rFonts w:hint="eastAsia" w:ascii="宋体" w:hAnsi="宋体"/>
                <w:b/>
                <w:szCs w:val="21"/>
              </w:rPr>
              <w:t>预算（万元）</w:t>
            </w:r>
          </w:p>
        </w:tc>
        <w:tc>
          <w:tcPr>
            <w:tcW w:w="1219" w:type="dxa"/>
            <w:vAlign w:val="center"/>
          </w:tcPr>
          <w:p>
            <w:pPr>
              <w:tabs>
                <w:tab w:val="left" w:pos="8280"/>
              </w:tabs>
              <w:autoSpaceDE w:val="0"/>
              <w:autoSpaceDN w:val="0"/>
              <w:adjustRightInd w:val="0"/>
              <w:spacing w:line="400" w:lineRule="exact"/>
              <w:ind w:right="25"/>
              <w:jc w:val="center"/>
              <w:rPr>
                <w:rFonts w:ascii="宋体" w:hAnsi="宋体"/>
                <w:b/>
                <w:szCs w:val="21"/>
              </w:rPr>
            </w:pPr>
            <w:r>
              <w:rPr>
                <w:rFonts w:hint="eastAsia" w:ascii="宋体" w:hAnsi="宋体"/>
                <w:b/>
                <w:szCs w:val="21"/>
              </w:rPr>
              <w:t>服务期</w:t>
            </w:r>
          </w:p>
        </w:tc>
        <w:tc>
          <w:tcPr>
            <w:tcW w:w="1210" w:type="dxa"/>
            <w:vAlign w:val="center"/>
          </w:tcPr>
          <w:p>
            <w:pPr>
              <w:tabs>
                <w:tab w:val="left" w:pos="8280"/>
              </w:tabs>
              <w:autoSpaceDE w:val="0"/>
              <w:autoSpaceDN w:val="0"/>
              <w:adjustRightInd w:val="0"/>
              <w:spacing w:line="400" w:lineRule="exact"/>
              <w:ind w:right="25"/>
              <w:jc w:val="center"/>
              <w:rPr>
                <w:rFonts w:ascii="宋体" w:hAnsi="宋体"/>
                <w:b/>
                <w:szCs w:val="21"/>
              </w:rPr>
            </w:pPr>
            <w:r>
              <w:rPr>
                <w:rFonts w:hint="eastAsia" w:ascii="宋体" w:hAnsi="宋体"/>
                <w:b/>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96" w:type="dxa"/>
            <w:vAlign w:val="center"/>
          </w:tcPr>
          <w:p>
            <w:pPr>
              <w:tabs>
                <w:tab w:val="left" w:pos="8280"/>
              </w:tabs>
              <w:autoSpaceDE w:val="0"/>
              <w:autoSpaceDN w:val="0"/>
              <w:adjustRightInd w:val="0"/>
              <w:spacing w:line="400" w:lineRule="exact"/>
              <w:jc w:val="center"/>
              <w:rPr>
                <w:rFonts w:ascii="宋体" w:hAnsi="宋体"/>
                <w:bCs/>
                <w:color w:val="000000"/>
                <w:szCs w:val="21"/>
              </w:rPr>
            </w:pPr>
            <w:r>
              <w:rPr>
                <w:rFonts w:hint="eastAsia" w:ascii="宋体" w:hAnsi="宋体"/>
                <w:color w:val="000000"/>
                <w:szCs w:val="21"/>
              </w:rPr>
              <w:t>一</w:t>
            </w:r>
          </w:p>
        </w:tc>
        <w:tc>
          <w:tcPr>
            <w:tcW w:w="1829" w:type="dxa"/>
            <w:vAlign w:val="center"/>
          </w:tcPr>
          <w:p>
            <w:pPr>
              <w:tabs>
                <w:tab w:val="left" w:pos="8280"/>
              </w:tabs>
              <w:autoSpaceDE w:val="0"/>
              <w:autoSpaceDN w:val="0"/>
              <w:adjustRightInd w:val="0"/>
              <w:snapToGrid w:val="0"/>
              <w:spacing w:line="400" w:lineRule="exact"/>
              <w:ind w:right="25"/>
              <w:jc w:val="center"/>
              <w:rPr>
                <w:rFonts w:hint="eastAsia" w:ascii="宋体" w:hAnsi="宋体" w:eastAsia="宋体"/>
                <w:bCs/>
                <w:color w:val="000000"/>
                <w:szCs w:val="21"/>
                <w:lang w:eastAsia="zh-CN"/>
              </w:rPr>
            </w:pPr>
            <w:r>
              <w:rPr>
                <w:rFonts w:hint="eastAsia" w:ascii="宋体" w:hAnsi="宋体"/>
                <w:bCs/>
                <w:color w:val="000000"/>
                <w:szCs w:val="21"/>
                <w:lang w:eastAsia="zh-CN"/>
              </w:rPr>
              <w:t>中国•玉环第三届国际高层次人才创业创新大赛</w:t>
            </w:r>
          </w:p>
        </w:tc>
        <w:tc>
          <w:tcPr>
            <w:tcW w:w="1360" w:type="dxa"/>
            <w:vAlign w:val="center"/>
          </w:tcPr>
          <w:p>
            <w:pPr>
              <w:tabs>
                <w:tab w:val="left" w:pos="8280"/>
              </w:tabs>
              <w:autoSpaceDE w:val="0"/>
              <w:autoSpaceDN w:val="0"/>
              <w:adjustRightInd w:val="0"/>
              <w:snapToGrid w:val="0"/>
              <w:spacing w:line="400" w:lineRule="exact"/>
              <w:ind w:right="25"/>
              <w:jc w:val="center"/>
              <w:rPr>
                <w:rFonts w:ascii="宋体" w:hAnsi="宋体"/>
                <w:szCs w:val="21"/>
              </w:rPr>
            </w:pPr>
            <w:r>
              <w:rPr>
                <w:rFonts w:hint="eastAsia" w:ascii="宋体" w:hAnsi="宋体"/>
                <w:bCs/>
                <w:color w:val="000000"/>
                <w:szCs w:val="21"/>
              </w:rPr>
              <w:t>见技术需求</w:t>
            </w:r>
          </w:p>
        </w:tc>
        <w:tc>
          <w:tcPr>
            <w:tcW w:w="540" w:type="dxa"/>
            <w:vAlign w:val="center"/>
          </w:tcPr>
          <w:p>
            <w:pPr>
              <w:tabs>
                <w:tab w:val="left" w:pos="8280"/>
              </w:tabs>
              <w:autoSpaceDE w:val="0"/>
              <w:autoSpaceDN w:val="0"/>
              <w:adjustRightInd w:val="0"/>
              <w:snapToGrid w:val="0"/>
              <w:spacing w:line="400" w:lineRule="exact"/>
              <w:ind w:right="25"/>
              <w:jc w:val="center"/>
              <w:rPr>
                <w:rFonts w:ascii="宋体" w:hAnsi="宋体"/>
                <w:szCs w:val="21"/>
              </w:rPr>
            </w:pPr>
            <w:r>
              <w:rPr>
                <w:rFonts w:hint="eastAsia" w:ascii="宋体" w:hAnsi="宋体"/>
                <w:bCs/>
                <w:color w:val="000000"/>
                <w:szCs w:val="21"/>
              </w:rPr>
              <w:t>1</w:t>
            </w:r>
          </w:p>
        </w:tc>
        <w:tc>
          <w:tcPr>
            <w:tcW w:w="540" w:type="dxa"/>
            <w:vAlign w:val="center"/>
          </w:tcPr>
          <w:p>
            <w:pPr>
              <w:tabs>
                <w:tab w:val="left" w:pos="8280"/>
              </w:tabs>
              <w:autoSpaceDE w:val="0"/>
              <w:autoSpaceDN w:val="0"/>
              <w:adjustRightInd w:val="0"/>
              <w:snapToGrid w:val="0"/>
              <w:spacing w:line="400" w:lineRule="exact"/>
              <w:ind w:right="25"/>
              <w:jc w:val="center"/>
              <w:rPr>
                <w:rFonts w:ascii="宋体" w:hAnsi="宋体"/>
                <w:szCs w:val="21"/>
              </w:rPr>
            </w:pPr>
            <w:r>
              <w:rPr>
                <w:rFonts w:hint="eastAsia" w:ascii="宋体" w:hAnsi="宋体"/>
                <w:bCs/>
                <w:color w:val="000000"/>
                <w:szCs w:val="21"/>
              </w:rPr>
              <w:t>项</w:t>
            </w:r>
          </w:p>
        </w:tc>
        <w:tc>
          <w:tcPr>
            <w:tcW w:w="1080" w:type="dxa"/>
            <w:vAlign w:val="center"/>
          </w:tcPr>
          <w:p>
            <w:pPr>
              <w:tabs>
                <w:tab w:val="left" w:pos="8280"/>
              </w:tabs>
              <w:autoSpaceDE w:val="0"/>
              <w:autoSpaceDN w:val="0"/>
              <w:adjustRightInd w:val="0"/>
              <w:snapToGrid w:val="0"/>
              <w:spacing w:line="400" w:lineRule="exact"/>
              <w:ind w:right="25"/>
              <w:jc w:val="center"/>
              <w:rPr>
                <w:rFonts w:hint="default" w:ascii="宋体" w:hAnsi="宋体" w:eastAsia="宋体"/>
                <w:bCs/>
                <w:color w:val="000000"/>
                <w:szCs w:val="21"/>
                <w:lang w:val="en-US" w:eastAsia="zh-CN"/>
              </w:rPr>
            </w:pPr>
            <w:r>
              <w:rPr>
                <w:rFonts w:hint="eastAsia" w:ascii="宋体" w:hAnsi="宋体"/>
                <w:bCs/>
                <w:color w:val="000000"/>
                <w:szCs w:val="21"/>
                <w:lang w:val="en-US" w:eastAsia="zh-CN"/>
              </w:rPr>
              <w:t>80</w:t>
            </w:r>
          </w:p>
        </w:tc>
        <w:tc>
          <w:tcPr>
            <w:tcW w:w="1219" w:type="dxa"/>
            <w:vAlign w:val="center"/>
          </w:tcPr>
          <w:p>
            <w:pPr>
              <w:tabs>
                <w:tab w:val="left" w:pos="8280"/>
              </w:tabs>
              <w:autoSpaceDE w:val="0"/>
              <w:autoSpaceDN w:val="0"/>
              <w:adjustRightInd w:val="0"/>
              <w:snapToGrid w:val="0"/>
              <w:spacing w:line="400" w:lineRule="exact"/>
              <w:ind w:right="25"/>
              <w:jc w:val="center"/>
              <w:rPr>
                <w:rFonts w:ascii="宋体" w:hAnsi="宋体"/>
                <w:bCs/>
                <w:color w:val="000000"/>
                <w:szCs w:val="21"/>
              </w:rPr>
            </w:pPr>
            <w:r>
              <w:rPr>
                <w:rFonts w:hint="eastAsia" w:ascii="宋体" w:hAnsi="宋体"/>
                <w:bCs/>
                <w:color w:val="000000"/>
                <w:szCs w:val="21"/>
              </w:rPr>
              <w:t>合同生效只日起至</w:t>
            </w:r>
            <w:r>
              <w:rPr>
                <w:rFonts w:ascii="宋体" w:hAnsi="宋体"/>
                <w:bCs/>
                <w:color w:val="000000"/>
                <w:szCs w:val="21"/>
              </w:rPr>
              <w:t>20</w:t>
            </w:r>
            <w:r>
              <w:rPr>
                <w:rFonts w:hint="eastAsia" w:ascii="宋体" w:hAnsi="宋体"/>
                <w:bCs/>
                <w:color w:val="000000"/>
                <w:szCs w:val="21"/>
                <w:lang w:val="en-US" w:eastAsia="zh-CN"/>
              </w:rPr>
              <w:t>20</w:t>
            </w:r>
            <w:r>
              <w:rPr>
                <w:rFonts w:hint="eastAsia" w:ascii="宋体" w:hAnsi="宋体"/>
                <w:bCs/>
                <w:color w:val="000000"/>
                <w:szCs w:val="21"/>
              </w:rPr>
              <w:t>年11月底。</w:t>
            </w:r>
          </w:p>
        </w:tc>
        <w:tc>
          <w:tcPr>
            <w:tcW w:w="1210" w:type="dxa"/>
            <w:vAlign w:val="center"/>
          </w:tcPr>
          <w:p>
            <w:pPr>
              <w:tabs>
                <w:tab w:val="left" w:pos="8280"/>
              </w:tabs>
              <w:autoSpaceDE w:val="0"/>
              <w:autoSpaceDN w:val="0"/>
              <w:adjustRightInd w:val="0"/>
              <w:snapToGrid w:val="0"/>
              <w:spacing w:line="400" w:lineRule="exact"/>
              <w:ind w:right="25"/>
              <w:jc w:val="center"/>
              <w:rPr>
                <w:rFonts w:ascii="宋体" w:hAnsi="宋体"/>
                <w:bCs/>
                <w:color w:val="000000"/>
                <w:szCs w:val="21"/>
              </w:rPr>
            </w:pPr>
            <w:r>
              <w:rPr>
                <w:rFonts w:hint="eastAsia" w:ascii="宋体" w:hAnsi="宋体"/>
                <w:bCs/>
                <w:color w:val="000000"/>
                <w:szCs w:val="21"/>
              </w:rPr>
              <w:t>采购人指定地点</w:t>
            </w:r>
          </w:p>
        </w:tc>
      </w:tr>
    </w:tbl>
    <w:p>
      <w:pPr>
        <w:pStyle w:val="7"/>
        <w:snapToGrid w:val="0"/>
        <w:spacing w:line="400" w:lineRule="exact"/>
        <w:jc w:val="left"/>
        <w:rPr>
          <w:rFonts w:hAnsi="宋体" w:cs="宋体"/>
          <w:color w:val="33CCCC"/>
          <w:szCs w:val="21"/>
        </w:rPr>
      </w:pPr>
      <w:r>
        <w:rPr>
          <w:rFonts w:hint="eastAsia" w:hAnsi="宋体" w:cs="宋体"/>
          <w:b/>
          <w:szCs w:val="21"/>
        </w:rPr>
        <w:t>二、具体技术需求</w:t>
      </w:r>
      <w:r>
        <w:rPr>
          <w:rFonts w:hint="eastAsia" w:hAnsi="宋体" w:cs="宋体"/>
          <w:color w:val="33CCCC"/>
          <w:szCs w:val="21"/>
        </w:rPr>
        <w:t xml:space="preserve"> </w:t>
      </w:r>
    </w:p>
    <w:p>
      <w:pPr>
        <w:pStyle w:val="4"/>
        <w:pageBreakBefore w:val="0"/>
        <w:widowControl w:val="0"/>
        <w:kinsoku/>
        <w:wordWrap/>
        <w:overflowPunct/>
        <w:topLinePunct w:val="0"/>
        <w:bidi w:val="0"/>
        <w:spacing w:beforeAutospacing="0" w:afterAutospacing="0" w:line="360" w:lineRule="auto"/>
        <w:ind w:firstLine="420" w:firstLineChars="200"/>
        <w:jc w:val="left"/>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lang w:val="en-US" w:eastAsia="zh-CN"/>
        </w:rPr>
        <w:t>一</w:t>
      </w: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rPr>
        <w:t>活动目的</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为深入实施“人才引领、创新驱动”战略，进一步弘扬创业精神，激发创造活力，发掘、引进一批高层次创业创新人才及优秀项目，加快优秀人才汇聚玉环，推动新时代美丽玉环高质量发展。</w:t>
      </w:r>
    </w:p>
    <w:p>
      <w:pPr>
        <w:pStyle w:val="4"/>
        <w:pageBreakBefore w:val="0"/>
        <w:widowControl w:val="0"/>
        <w:kinsoku/>
        <w:wordWrap/>
        <w:overflowPunct/>
        <w:topLinePunct w:val="0"/>
        <w:bidi w:val="0"/>
        <w:spacing w:beforeAutospacing="0" w:afterAutospacing="0" w:line="360" w:lineRule="auto"/>
        <w:ind w:firstLine="420" w:firstLineChars="200"/>
        <w:jc w:val="left"/>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eastAsia="zh-CN"/>
        </w:rPr>
        <w:t>（二）</w:t>
      </w:r>
      <w:r>
        <w:rPr>
          <w:rFonts w:hint="eastAsia" w:asciiTheme="minorEastAsia" w:hAnsiTheme="minorEastAsia" w:eastAsiaTheme="minorEastAsia" w:cstheme="minorEastAsia"/>
          <w:b w:val="0"/>
          <w:sz w:val="21"/>
          <w:szCs w:val="21"/>
        </w:rPr>
        <w:t>大赛主题</w:t>
      </w:r>
    </w:p>
    <w:p>
      <w:pPr>
        <w:pageBreakBefore w:val="0"/>
        <w:widowControl w:val="0"/>
        <w:kinsoku/>
        <w:wordWrap/>
        <w:overflowPunct/>
        <w:topLinePunct w:val="0"/>
        <w:bidi w:val="0"/>
        <w:snapToGrid w:val="0"/>
        <w:spacing w:after="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“智联全球 才聚玉环” </w:t>
      </w:r>
    </w:p>
    <w:p>
      <w:pPr>
        <w:pStyle w:val="4"/>
        <w:pageBreakBefore w:val="0"/>
        <w:widowControl w:val="0"/>
        <w:kinsoku/>
        <w:wordWrap/>
        <w:overflowPunct/>
        <w:topLinePunct w:val="0"/>
        <w:bidi w:val="0"/>
        <w:spacing w:beforeAutospacing="0" w:afterAutospacing="0" w:line="360" w:lineRule="auto"/>
        <w:ind w:firstLine="420" w:firstLineChars="200"/>
        <w:jc w:val="left"/>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eastAsia="zh-CN"/>
        </w:rPr>
        <w:t>（三）</w:t>
      </w:r>
      <w:r>
        <w:rPr>
          <w:rFonts w:hint="eastAsia" w:asciiTheme="minorEastAsia" w:hAnsiTheme="minorEastAsia" w:eastAsiaTheme="minorEastAsia" w:cstheme="minorEastAsia"/>
          <w:b w:val="0"/>
          <w:sz w:val="21"/>
          <w:szCs w:val="21"/>
        </w:rPr>
        <w:t>组织机构</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主办单位：中共玉环市委  玉环市人民政府</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承办单位：中共玉环市委组织部</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玉环市人力资源和社会保障局</w:t>
      </w:r>
    </w:p>
    <w:p>
      <w:pPr>
        <w:pStyle w:val="4"/>
        <w:pageBreakBefore w:val="0"/>
        <w:widowControl w:val="0"/>
        <w:kinsoku/>
        <w:wordWrap/>
        <w:overflowPunct/>
        <w:topLinePunct w:val="0"/>
        <w:bidi w:val="0"/>
        <w:spacing w:beforeAutospacing="0" w:afterAutospacing="0" w:line="360" w:lineRule="auto"/>
        <w:ind w:firstLine="420" w:firstLineChars="200"/>
        <w:jc w:val="left"/>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eastAsia="zh-CN"/>
        </w:rPr>
        <w:t>（四）</w:t>
      </w:r>
      <w:r>
        <w:rPr>
          <w:rFonts w:hint="eastAsia" w:asciiTheme="minorEastAsia" w:hAnsiTheme="minorEastAsia" w:eastAsiaTheme="minorEastAsia" w:cstheme="minorEastAsia"/>
          <w:b w:val="0"/>
          <w:sz w:val="21"/>
          <w:szCs w:val="21"/>
        </w:rPr>
        <w:t>参赛领域（引进对象和重点领域）</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数字经济、汽车零部件、智能制造等相关领域</w:t>
      </w:r>
    </w:p>
    <w:p>
      <w:pPr>
        <w:pStyle w:val="4"/>
        <w:pageBreakBefore w:val="0"/>
        <w:widowControl w:val="0"/>
        <w:kinsoku/>
        <w:wordWrap/>
        <w:overflowPunct/>
        <w:topLinePunct w:val="0"/>
        <w:bidi w:val="0"/>
        <w:spacing w:beforeAutospacing="0" w:afterAutospacing="0" w:line="360" w:lineRule="auto"/>
        <w:ind w:firstLine="420" w:firstLineChars="200"/>
        <w:jc w:val="left"/>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eastAsia="zh-CN"/>
        </w:rPr>
        <w:t>（五）</w:t>
      </w:r>
      <w:r>
        <w:rPr>
          <w:rFonts w:hint="eastAsia" w:asciiTheme="minorEastAsia" w:hAnsiTheme="minorEastAsia" w:eastAsiaTheme="minorEastAsia" w:cstheme="minorEastAsia"/>
          <w:b w:val="0"/>
          <w:sz w:val="21"/>
          <w:szCs w:val="21"/>
        </w:rPr>
        <w:t>参赛条件</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围绕玉环的经济社会高质量发展需求，面向国内外引进具备国际国内领先学术技术水平，或拥有自主知识产权、能实施产业化发展的科研成果或项目，能突破关键技术、发展高新产业的学科带头人、领军人才和高层次创业创新人才（团队）。</w:t>
      </w:r>
    </w:p>
    <w:p>
      <w:pPr>
        <w:pageBreakBefore w:val="0"/>
        <w:widowControl w:val="0"/>
        <w:kinsoku/>
        <w:wordWrap/>
        <w:overflowPunct/>
        <w:topLinePunct w:val="0"/>
        <w:bidi w:val="0"/>
        <w:spacing w:after="0" w:line="360" w:lineRule="auto"/>
        <w:ind w:firstLine="396" w:firstLineChars="200"/>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主要面向公告发布之日尚未在台州市注册企业或者注册企业不满2年的创业创新人才，并需符合以下参赛条件：</w:t>
      </w:r>
    </w:p>
    <w:p>
      <w:pPr>
        <w:pStyle w:val="11"/>
        <w:pageBreakBefore w:val="0"/>
        <w:widowControl w:val="0"/>
        <w:kinsoku/>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（1）具有硕士及以上学位或副高及以上职称（在海外取得学位的可放宽至学士学位）；有创业经验，或曾在国内外知名企业工作2年以上，有较强的经营管理能力；年龄一般不超过60周岁。</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（2）拥有拟创业项目的自主知识产权，有成熟的创业项目与计划，产品拥有国际先进或国内领先的核心技术，原则上处于中试或产业化阶段，符合玉环市产业发展要求，有较好的市场前景并能进行产业化生产。</w:t>
      </w:r>
    </w:p>
    <w:p>
      <w:pPr>
        <w:pStyle w:val="2"/>
        <w:ind w:firstLine="420" w:firstLineChars="200"/>
        <w:rPr>
          <w:rFonts w:hint="default" w:eastAsiaTheme="minorEastAsia"/>
          <w:color w:val="0000FF"/>
          <w:lang w:val="en-US" w:eastAsia="zh-CN"/>
        </w:rPr>
      </w:pPr>
      <w:r>
        <w:rPr>
          <w:rFonts w:hint="eastAsia" w:asciiTheme="minorEastAsia" w:hAnsiTheme="minorEastAsia" w:eastAsiaTheme="minorEastAsia" w:cstheme="minorEastAsia"/>
          <w:color w:val="0000FF"/>
          <w:sz w:val="21"/>
          <w:szCs w:val="21"/>
          <w:lang w:eastAsia="zh-CN"/>
        </w:rPr>
        <w:t>（</w:t>
      </w:r>
      <w:r>
        <w:rPr>
          <w:rFonts w:hint="eastAsia" w:asciiTheme="minorEastAsia" w:hAnsiTheme="minorEastAsia" w:eastAsiaTheme="minorEastAsia" w:cstheme="minorEastAsia"/>
          <w:color w:val="0000FF"/>
          <w:sz w:val="21"/>
          <w:szCs w:val="21"/>
          <w:lang w:val="en-US" w:eastAsia="zh-CN"/>
        </w:rPr>
        <w:t>3</w:t>
      </w:r>
      <w:r>
        <w:rPr>
          <w:rFonts w:hint="eastAsia" w:asciiTheme="minorEastAsia" w:hAnsiTheme="minorEastAsia" w:eastAsiaTheme="minorEastAsia" w:cstheme="minorEastAsia"/>
          <w:color w:val="0000FF"/>
          <w:sz w:val="21"/>
          <w:szCs w:val="21"/>
          <w:lang w:eastAsia="zh-CN"/>
        </w:rPr>
        <w:t>）自带创业资金（含机构投资）</w:t>
      </w:r>
      <w:r>
        <w:rPr>
          <w:rFonts w:hint="eastAsia" w:asciiTheme="minorEastAsia" w:hAnsiTheme="minorEastAsia" w:eastAsiaTheme="minorEastAsia" w:cstheme="minorEastAsia"/>
          <w:color w:val="0000FF"/>
          <w:sz w:val="21"/>
          <w:szCs w:val="21"/>
          <w:lang w:val="en-US" w:eastAsia="zh-CN"/>
        </w:rPr>
        <w:t>100万元以上。</w:t>
      </w:r>
    </w:p>
    <w:p>
      <w:pPr>
        <w:pStyle w:val="4"/>
        <w:pageBreakBefore w:val="0"/>
        <w:widowControl w:val="0"/>
        <w:kinsoku/>
        <w:wordWrap/>
        <w:overflowPunct/>
        <w:topLinePunct w:val="0"/>
        <w:bidi w:val="0"/>
        <w:spacing w:beforeAutospacing="0" w:afterAutospacing="0" w:line="360" w:lineRule="auto"/>
        <w:ind w:firstLine="420" w:firstLineChars="200"/>
        <w:jc w:val="left"/>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eastAsia="zh-CN"/>
        </w:rPr>
        <w:t>（六）</w:t>
      </w:r>
      <w:r>
        <w:rPr>
          <w:rFonts w:hint="eastAsia" w:asciiTheme="minorEastAsia" w:hAnsiTheme="minorEastAsia" w:eastAsiaTheme="minorEastAsia" w:cstheme="minorEastAsia"/>
          <w:b w:val="0"/>
          <w:sz w:val="21"/>
          <w:szCs w:val="21"/>
        </w:rPr>
        <w:t>赛事安排</w:t>
      </w:r>
    </w:p>
    <w:p>
      <w:pPr>
        <w:pStyle w:val="5"/>
        <w:pageBreakBefore w:val="0"/>
        <w:widowControl w:val="0"/>
        <w:kinsoku/>
        <w:wordWrap/>
        <w:overflowPunct/>
        <w:topLinePunct w:val="0"/>
        <w:bidi w:val="0"/>
        <w:spacing w:before="0" w:after="0" w:line="360" w:lineRule="auto"/>
        <w:ind w:firstLine="420" w:firstLineChars="200"/>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lang w:val="en-US" w:eastAsia="zh-CN"/>
        </w:rPr>
        <w:t>1</w:t>
      </w: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rPr>
        <w:t>大赛模式</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按“1+2+1+1”联动模式进行，即为1场大赛启动仪式、2场线上视频赛、1场城市线下赛和1场决赛。</w:t>
      </w:r>
    </w:p>
    <w:p>
      <w:pPr>
        <w:pStyle w:val="5"/>
        <w:pageBreakBefore w:val="0"/>
        <w:widowControl w:val="0"/>
        <w:kinsoku/>
        <w:wordWrap/>
        <w:overflowPunct/>
        <w:topLinePunct w:val="0"/>
        <w:bidi w:val="0"/>
        <w:spacing w:before="0" w:after="0" w:line="360" w:lineRule="auto"/>
        <w:ind w:firstLine="420" w:firstLineChars="200"/>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lang w:val="en-US" w:eastAsia="zh-CN"/>
        </w:rPr>
        <w:t>2</w:t>
      </w: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rPr>
        <w:t>赛程安排</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60"/>
        <w:gridCol w:w="108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vAlign w:val="center"/>
          </w:tcPr>
          <w:p>
            <w:pPr>
              <w:pageBreakBefore w:val="0"/>
              <w:widowControl w:val="0"/>
              <w:kinsoku/>
              <w:wordWrap/>
              <w:overflowPunct/>
              <w:topLinePunct w:val="0"/>
              <w:bidi w:val="0"/>
              <w:spacing w:after="0" w:line="360" w:lineRule="auto"/>
              <w:ind w:firstLine="422" w:firstLineChars="2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时 间</w:t>
            </w:r>
          </w:p>
        </w:tc>
        <w:tc>
          <w:tcPr>
            <w:tcW w:w="2160" w:type="dxa"/>
            <w:vAlign w:val="center"/>
          </w:tcPr>
          <w:p>
            <w:pPr>
              <w:pageBreakBefore w:val="0"/>
              <w:widowControl w:val="0"/>
              <w:kinsoku/>
              <w:wordWrap/>
              <w:overflowPunct/>
              <w:topLinePunct w:val="0"/>
              <w:bidi w:val="0"/>
              <w:spacing w:after="0" w:line="360" w:lineRule="auto"/>
              <w:ind w:firstLine="422" w:firstLineChars="2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赛 事</w:t>
            </w:r>
          </w:p>
        </w:tc>
        <w:tc>
          <w:tcPr>
            <w:tcW w:w="1080" w:type="dxa"/>
            <w:vAlign w:val="center"/>
          </w:tcPr>
          <w:p>
            <w:pPr>
              <w:pageBreakBefore w:val="0"/>
              <w:widowControl w:val="0"/>
              <w:kinsoku/>
              <w:wordWrap/>
              <w:overflowPunct/>
              <w:topLinePunct w:val="0"/>
              <w:bidi w:val="0"/>
              <w:spacing w:after="0" w:line="360" w:lineRule="auto"/>
              <w:ind w:firstLine="422" w:firstLineChars="2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地 点</w:t>
            </w:r>
          </w:p>
        </w:tc>
        <w:tc>
          <w:tcPr>
            <w:tcW w:w="3780" w:type="dxa"/>
            <w:vAlign w:val="center"/>
          </w:tcPr>
          <w:p>
            <w:pPr>
              <w:pageBreakBefore w:val="0"/>
              <w:widowControl w:val="0"/>
              <w:kinsoku/>
              <w:wordWrap/>
              <w:overflowPunct/>
              <w:topLinePunct w:val="0"/>
              <w:bidi w:val="0"/>
              <w:spacing w:after="0" w:line="360" w:lineRule="auto"/>
              <w:ind w:firstLine="422" w:firstLineChars="2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 作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2020年3月</w:t>
            </w:r>
          </w:p>
        </w:tc>
        <w:tc>
          <w:tcPr>
            <w:tcW w:w="216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筹备期</w:t>
            </w:r>
          </w:p>
        </w:tc>
        <w:tc>
          <w:tcPr>
            <w:tcW w:w="10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p>
        </w:tc>
        <w:tc>
          <w:tcPr>
            <w:tcW w:w="378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确定大赛方案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2020年3-4月</w:t>
            </w:r>
          </w:p>
        </w:tc>
        <w:tc>
          <w:tcPr>
            <w:tcW w:w="216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前期宣传+</w:t>
            </w:r>
          </w:p>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项目征询</w:t>
            </w:r>
          </w:p>
        </w:tc>
        <w:tc>
          <w:tcPr>
            <w:tcW w:w="10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全国</w:t>
            </w:r>
          </w:p>
        </w:tc>
        <w:tc>
          <w:tcPr>
            <w:tcW w:w="378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9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2020年5月</w:t>
            </w:r>
          </w:p>
        </w:tc>
        <w:tc>
          <w:tcPr>
            <w:tcW w:w="216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大赛启动仪式及线上视频赛</w:t>
            </w:r>
          </w:p>
        </w:tc>
        <w:tc>
          <w:tcPr>
            <w:tcW w:w="10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全球</w:t>
            </w:r>
          </w:p>
        </w:tc>
        <w:tc>
          <w:tcPr>
            <w:tcW w:w="378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线下的媒体、投行邀请和线上的大范围的宣传</w:t>
            </w:r>
          </w:p>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项目线上报名30+，路演15个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2020年7月</w:t>
            </w:r>
          </w:p>
        </w:tc>
        <w:tc>
          <w:tcPr>
            <w:tcW w:w="216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线上视频赛</w:t>
            </w:r>
          </w:p>
        </w:tc>
        <w:tc>
          <w:tcPr>
            <w:tcW w:w="10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全球</w:t>
            </w:r>
          </w:p>
        </w:tc>
        <w:tc>
          <w:tcPr>
            <w:tcW w:w="378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项目线上报名30+，路演15个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2020年7月</w:t>
            </w:r>
          </w:p>
        </w:tc>
        <w:tc>
          <w:tcPr>
            <w:tcW w:w="216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城市线下赛</w:t>
            </w:r>
          </w:p>
        </w:tc>
        <w:tc>
          <w:tcPr>
            <w:tcW w:w="10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上海</w:t>
            </w:r>
          </w:p>
        </w:tc>
        <w:tc>
          <w:tcPr>
            <w:tcW w:w="378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项目线上报名30+，路演15个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2020年8-9月</w:t>
            </w:r>
          </w:p>
        </w:tc>
        <w:tc>
          <w:tcPr>
            <w:tcW w:w="216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项目培训落户对接</w:t>
            </w:r>
          </w:p>
        </w:tc>
        <w:tc>
          <w:tcPr>
            <w:tcW w:w="10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p>
        </w:tc>
        <w:tc>
          <w:tcPr>
            <w:tcW w:w="378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对入围项目进行培训和落地对接，确保部分项目在决赛前入驻园区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2020年10月</w:t>
            </w:r>
          </w:p>
        </w:tc>
        <w:tc>
          <w:tcPr>
            <w:tcW w:w="216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决赛</w:t>
            </w:r>
          </w:p>
        </w:tc>
        <w:tc>
          <w:tcPr>
            <w:tcW w:w="10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玉环</w:t>
            </w:r>
          </w:p>
        </w:tc>
        <w:tc>
          <w:tcPr>
            <w:tcW w:w="378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2020年11月</w:t>
            </w:r>
          </w:p>
        </w:tc>
        <w:tc>
          <w:tcPr>
            <w:tcW w:w="216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台州市国际人才交流大会</w:t>
            </w:r>
          </w:p>
        </w:tc>
        <w:tc>
          <w:tcPr>
            <w:tcW w:w="10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台州</w:t>
            </w:r>
          </w:p>
        </w:tc>
        <w:tc>
          <w:tcPr>
            <w:tcW w:w="378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参赛项目的辅导与材料</w:t>
            </w:r>
          </w:p>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准备</w:t>
            </w:r>
          </w:p>
        </w:tc>
      </w:tr>
    </w:tbl>
    <w:p>
      <w:pPr>
        <w:pStyle w:val="5"/>
        <w:pageBreakBefore w:val="0"/>
        <w:widowControl w:val="0"/>
        <w:kinsoku/>
        <w:wordWrap/>
        <w:overflowPunct/>
        <w:topLinePunct w:val="0"/>
        <w:bidi w:val="0"/>
        <w:spacing w:before="0" w:after="0" w:line="360" w:lineRule="auto"/>
        <w:ind w:firstLine="420" w:firstLineChars="200"/>
        <w:rPr>
          <w:rFonts w:hint="eastAsia" w:asciiTheme="minorEastAsia" w:hAnsiTheme="minorEastAsia" w:eastAsiaTheme="minorEastAsia" w:cstheme="minorEastAsia"/>
          <w:b w:val="0"/>
          <w:bCs w:val="0"/>
          <w:color w:val="000000"/>
          <w:sz w:val="21"/>
          <w:szCs w:val="21"/>
        </w:rPr>
      </w:pPr>
    </w:p>
    <w:p>
      <w:pPr>
        <w:pStyle w:val="5"/>
        <w:pageBreakBefore w:val="0"/>
        <w:widowControl w:val="0"/>
        <w:kinsoku/>
        <w:wordWrap/>
        <w:overflowPunct/>
        <w:topLinePunct w:val="0"/>
        <w:bidi w:val="0"/>
        <w:spacing w:before="0" w:after="0" w:line="360" w:lineRule="auto"/>
        <w:ind w:firstLine="420" w:firstLineChars="200"/>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lang w:val="en-US" w:eastAsia="zh-CN"/>
        </w:rPr>
        <w:t>3</w:t>
      </w: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rPr>
        <w:t>组织机构</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设立大赛组委会，设主席1名、副主席2名，办公室主任1名，副主任若干名，成员若干名（承办部门相关人员，线上赛负责人、城市赛负责人、 文秘、财务）。</w:t>
      </w:r>
    </w:p>
    <w:p>
      <w:pPr>
        <w:pStyle w:val="5"/>
        <w:pageBreakBefore w:val="0"/>
        <w:widowControl w:val="0"/>
        <w:kinsoku/>
        <w:wordWrap/>
        <w:overflowPunct/>
        <w:topLinePunct w:val="0"/>
        <w:bidi w:val="0"/>
        <w:spacing w:before="0" w:after="0" w:line="360" w:lineRule="auto"/>
        <w:ind w:firstLine="420" w:firstLineChars="200"/>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lang w:val="en-US" w:eastAsia="zh-CN"/>
        </w:rPr>
        <w:t>4</w:t>
      </w: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rPr>
        <w:t>主要内容</w:t>
      </w:r>
    </w:p>
    <w:p>
      <w:pPr>
        <w:pStyle w:val="6"/>
        <w:pageBreakBefore w:val="0"/>
        <w:widowControl w:val="0"/>
        <w:kinsoku/>
        <w:wordWrap/>
        <w:overflowPunct/>
        <w:topLinePunct w:val="0"/>
        <w:bidi w:val="0"/>
        <w:spacing w:before="0" w:after="0" w:line="360" w:lineRule="auto"/>
        <w:ind w:firstLine="422" w:firstLineChars="200"/>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Cs w:val="0"/>
          <w:color w:val="000000"/>
          <w:sz w:val="21"/>
          <w:szCs w:val="21"/>
        </w:rPr>
        <w:t>1、宣传月</w:t>
      </w:r>
      <w:r>
        <w:rPr>
          <w:rFonts w:hint="eastAsia" w:asciiTheme="minorEastAsia" w:hAnsiTheme="minorEastAsia" w:eastAsiaTheme="minorEastAsia" w:cstheme="minorEastAsia"/>
          <w:b w:val="0"/>
          <w:bCs w:val="0"/>
          <w:color w:val="000000"/>
          <w:sz w:val="21"/>
          <w:szCs w:val="21"/>
        </w:rPr>
        <w:t>（公开征集项目参赛）</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征集不少于100个。开发创业创新大赛线上系统征集平台及H5推广页面，针对目标行业、企业精准推送报名信息、赛程安排及落户政策信息；面向高校、科研院所、商会、园区等传播报名信息、赛程安排及落户政策信息。</w:t>
      </w:r>
    </w:p>
    <w:p>
      <w:pPr>
        <w:pStyle w:val="6"/>
        <w:pageBreakBefore w:val="0"/>
        <w:widowControl w:val="0"/>
        <w:kinsoku/>
        <w:wordWrap/>
        <w:overflowPunct/>
        <w:topLinePunct w:val="0"/>
        <w:bidi w:val="0"/>
        <w:spacing w:before="0" w:after="0" w:line="360" w:lineRule="auto"/>
        <w:ind w:firstLine="422" w:firstLineChars="200"/>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2、项目初审</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FF"/>
          <w:sz w:val="21"/>
          <w:szCs w:val="21"/>
          <w:lang w:eastAsia="zh-CN"/>
        </w:rPr>
        <w:t>每场次拟参赛人才项目须提前一个星期提供书面详细资料供主办方审核</w:t>
      </w:r>
      <w:r>
        <w:rPr>
          <w:rFonts w:hint="eastAsia" w:asciiTheme="minorEastAsia" w:hAnsiTheme="minorEastAsia" w:eastAsiaTheme="minorEastAsia" w:cstheme="minorEastAsia"/>
          <w:color w:val="0000FF"/>
          <w:sz w:val="21"/>
          <w:szCs w:val="21"/>
        </w:rPr>
        <w:t>，</w:t>
      </w:r>
      <w:r>
        <w:rPr>
          <w:rFonts w:hint="eastAsia" w:asciiTheme="minorEastAsia" w:hAnsiTheme="minorEastAsia" w:eastAsiaTheme="minorEastAsia" w:cstheme="minorEastAsia"/>
          <w:color w:val="000000"/>
          <w:sz w:val="21"/>
          <w:szCs w:val="21"/>
        </w:rPr>
        <w:t>所有场次按50%比例左右筛选进入路演。</w:t>
      </w:r>
    </w:p>
    <w:p>
      <w:pPr>
        <w:pStyle w:val="6"/>
        <w:pageBreakBefore w:val="0"/>
        <w:widowControl w:val="0"/>
        <w:kinsoku/>
        <w:wordWrap/>
        <w:overflowPunct/>
        <w:topLinePunct w:val="0"/>
        <w:bidi w:val="0"/>
        <w:spacing w:before="0" w:after="0" w:line="360" w:lineRule="auto"/>
        <w:ind w:firstLine="422" w:firstLineChars="200"/>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3、启动仪式及线上视频赛</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时间：2020年5月至7月</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形式：线上视频赛</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初赛平台：ZOOM系统或腾讯线上会议系统</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项目路演：项目PPT汇报时间8分钟+评委问答互动时间5分钟</w:t>
      </w:r>
    </w:p>
    <w:p>
      <w:pPr>
        <w:pStyle w:val="2"/>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项目赛程：分2场线上视频赛，每场约15个项目参加路演答辩，原则上每场均选出5个优胜项目入围决赛（根据每场项目实际情况，经大赛组委会同意，可适当增减1-2个名额）。</w:t>
      </w:r>
    </w:p>
    <w:p>
      <w:pPr>
        <w:pStyle w:val="2"/>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通过大赛线上系统，组织5名评委导师与项目于线上路演，并通过创赛线上打分系统进行线上打分。</w:t>
      </w:r>
    </w:p>
    <w:tbl>
      <w:tblPr>
        <w:tblStyle w:val="9"/>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906"/>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序号</w:t>
            </w:r>
          </w:p>
        </w:tc>
        <w:tc>
          <w:tcPr>
            <w:tcW w:w="3906"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事  项</w:t>
            </w:r>
          </w:p>
        </w:tc>
        <w:tc>
          <w:tcPr>
            <w:tcW w:w="306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3906"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主持人介绍到场嘉宾</w:t>
            </w:r>
          </w:p>
        </w:tc>
        <w:tc>
          <w:tcPr>
            <w:tcW w:w="306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3906"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致大赛启动辞</w:t>
            </w:r>
          </w:p>
        </w:tc>
        <w:tc>
          <w:tcPr>
            <w:tcW w:w="306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市领导（仅第一场）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3906"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介绍玉环人才政策</w:t>
            </w:r>
          </w:p>
        </w:tc>
        <w:tc>
          <w:tcPr>
            <w:tcW w:w="306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市委组织部或市人社局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3906"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项目路演</w:t>
            </w:r>
          </w:p>
        </w:tc>
        <w:tc>
          <w:tcPr>
            <w:tcW w:w="306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8分钟+5分钟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3906"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打分</w:t>
            </w:r>
          </w:p>
        </w:tc>
        <w:tc>
          <w:tcPr>
            <w:tcW w:w="306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color w:val="000000"/>
                <w:sz w:val="21"/>
                <w:szCs w:val="21"/>
              </w:rPr>
            </w:pPr>
          </w:p>
        </w:tc>
      </w:tr>
    </w:tbl>
    <w:p>
      <w:pPr>
        <w:pStyle w:val="6"/>
        <w:pageBreakBefore w:val="0"/>
        <w:widowControl w:val="0"/>
        <w:kinsoku/>
        <w:wordWrap/>
        <w:overflowPunct/>
        <w:topLinePunct w:val="0"/>
        <w:bidi w:val="0"/>
        <w:spacing w:before="0" w:after="0" w:line="360" w:lineRule="auto"/>
        <w:ind w:firstLine="420" w:firstLineChars="200"/>
        <w:rPr>
          <w:rFonts w:hint="eastAsia" w:asciiTheme="minorEastAsia" w:hAnsiTheme="minorEastAsia" w:eastAsiaTheme="minorEastAsia" w:cstheme="minorEastAsia"/>
          <w:b w:val="0"/>
          <w:bCs w:val="0"/>
          <w:color w:val="000000"/>
          <w:sz w:val="21"/>
          <w:szCs w:val="21"/>
        </w:rPr>
      </w:pPr>
    </w:p>
    <w:p>
      <w:pPr>
        <w:pStyle w:val="6"/>
        <w:pageBreakBefore w:val="0"/>
        <w:widowControl w:val="0"/>
        <w:kinsoku/>
        <w:wordWrap/>
        <w:overflowPunct/>
        <w:topLinePunct w:val="0"/>
        <w:bidi w:val="0"/>
        <w:spacing w:before="0" w:after="0" w:line="360" w:lineRule="auto"/>
        <w:ind w:firstLine="422" w:firstLineChars="200"/>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4、城市线下赛（上海）</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bookmarkStart w:id="0" w:name="_Hlk32958172"/>
      <w:r>
        <w:rPr>
          <w:rFonts w:hint="eastAsia" w:asciiTheme="minorEastAsia" w:hAnsiTheme="minorEastAsia" w:eastAsiaTheme="minorEastAsia" w:cstheme="minorEastAsia"/>
          <w:color w:val="000000"/>
          <w:sz w:val="21"/>
          <w:szCs w:val="21"/>
        </w:rPr>
        <w:t>时间：2020年7月</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形式：城市线下赛</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地点：待定</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初赛评委：每场邀请5名投资人及行业专家进行项目评审。</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项目路演：项目PPT汇报时间8分钟+评委问答互动时间5分钟</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项目赛程：约15个项目参加线下路演答辩，原则上选出5个优胜项目入围决赛（根据项目实际情况，经大赛组委会同意，可适当增减1-2个名额）。</w:t>
      </w:r>
    </w:p>
    <w:p>
      <w:pPr>
        <w:pStyle w:val="2"/>
        <w:pageBreakBefore w:val="0"/>
        <w:widowControl w:val="0"/>
        <w:kinsoku/>
        <w:wordWrap/>
        <w:overflowPunct/>
        <w:topLinePunct w:val="0"/>
        <w:bidi w:val="0"/>
        <w:spacing w:line="360" w:lineRule="auto"/>
        <w:ind w:firstLine="420" w:firstLineChars="200"/>
        <w:rPr>
          <w:rFonts w:hint="eastAsia" w:asciiTheme="minorEastAsia" w:hAnsiTheme="minorEastAsia" w:eastAsiaTheme="minorEastAsia" w:cstheme="minorEastAsia"/>
          <w:sz w:val="21"/>
          <w:szCs w:val="21"/>
        </w:rPr>
      </w:pPr>
    </w:p>
    <w:tbl>
      <w:tblPr>
        <w:tblStyle w:val="9"/>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435"/>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序号</w:t>
            </w:r>
          </w:p>
        </w:tc>
        <w:tc>
          <w:tcPr>
            <w:tcW w:w="443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事项</w:t>
            </w:r>
          </w:p>
        </w:tc>
        <w:tc>
          <w:tcPr>
            <w:tcW w:w="283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443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主持人介绍到场嘉宾</w:t>
            </w:r>
          </w:p>
        </w:tc>
        <w:tc>
          <w:tcPr>
            <w:tcW w:w="283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443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介绍玉环人才政策</w:t>
            </w:r>
          </w:p>
        </w:tc>
        <w:tc>
          <w:tcPr>
            <w:tcW w:w="283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市委组织部/市人社局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443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项目路演</w:t>
            </w:r>
          </w:p>
        </w:tc>
        <w:tc>
          <w:tcPr>
            <w:tcW w:w="283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8分钟+5分钟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443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合影及结束</w:t>
            </w:r>
          </w:p>
        </w:tc>
        <w:tc>
          <w:tcPr>
            <w:tcW w:w="283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p>
        </w:tc>
      </w:tr>
      <w:bookmarkEnd w:id="0"/>
    </w:tbl>
    <w:p>
      <w:pPr>
        <w:pStyle w:val="6"/>
        <w:pageBreakBefore w:val="0"/>
        <w:widowControl w:val="0"/>
        <w:kinsoku/>
        <w:wordWrap/>
        <w:overflowPunct/>
        <w:topLinePunct w:val="0"/>
        <w:bidi w:val="0"/>
        <w:spacing w:before="0" w:after="0" w:line="360" w:lineRule="auto"/>
        <w:ind w:firstLine="422" w:firstLineChars="200"/>
        <w:rPr>
          <w:rFonts w:hint="eastAsia" w:asciiTheme="minorEastAsia" w:hAnsiTheme="minorEastAsia" w:eastAsiaTheme="minorEastAsia" w:cstheme="minorEastAsia"/>
          <w:sz w:val="21"/>
          <w:szCs w:val="21"/>
        </w:rPr>
      </w:pPr>
    </w:p>
    <w:p>
      <w:pPr>
        <w:pStyle w:val="6"/>
        <w:pageBreakBefore w:val="0"/>
        <w:widowControl w:val="0"/>
        <w:kinsoku/>
        <w:wordWrap/>
        <w:overflowPunct/>
        <w:topLinePunct w:val="0"/>
        <w:bidi w:val="0"/>
        <w:spacing w:before="0" w:after="0"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5、项目辅导与落户对接</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C00000"/>
          <w:sz w:val="21"/>
          <w:szCs w:val="21"/>
        </w:rPr>
      </w:pPr>
      <w:r>
        <w:rPr>
          <w:rFonts w:hint="eastAsia" w:asciiTheme="minorEastAsia" w:hAnsiTheme="minorEastAsia" w:eastAsiaTheme="minorEastAsia" w:cstheme="minorEastAsia"/>
          <w:color w:val="C00000"/>
          <w:sz w:val="21"/>
          <w:szCs w:val="21"/>
        </w:rPr>
        <w:t>各初赛入围决赛的项目人才至少有3个符合领军人才申报条件，其中1个及以上可直接认定领军人才。</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C00000"/>
          <w:sz w:val="21"/>
          <w:szCs w:val="21"/>
        </w:rPr>
      </w:pPr>
      <w:r>
        <w:rPr>
          <w:rFonts w:hint="eastAsia" w:asciiTheme="minorEastAsia" w:hAnsiTheme="minorEastAsia" w:eastAsiaTheme="minorEastAsia" w:cstheme="minorEastAsia"/>
          <w:color w:val="C00000"/>
          <w:sz w:val="21"/>
          <w:szCs w:val="21"/>
        </w:rPr>
        <w:t>组织意向落户项目（至少15家）到玉环实地考察对接，引导项目落户注册，争取部分项目（不少于10家）在决赛前落户玉环。</w:t>
      </w:r>
    </w:p>
    <w:p>
      <w:pPr>
        <w:pStyle w:val="6"/>
        <w:pageBreakBefore w:val="0"/>
        <w:widowControl w:val="0"/>
        <w:kinsoku/>
        <w:wordWrap/>
        <w:overflowPunct/>
        <w:topLinePunct w:val="0"/>
        <w:bidi w:val="0"/>
        <w:spacing w:before="0" w:after="0"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6、决赛项目一对一闭门辅导</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对进入决赛项目进行一对一闭门辅导，包括商业计划书的梳理、撰写、美化，演讲技巧培训与演练，确保决赛现场全视角完美呈现，提高路演效果。</w:t>
      </w:r>
    </w:p>
    <w:p>
      <w:pPr>
        <w:pStyle w:val="6"/>
        <w:pageBreakBefore w:val="0"/>
        <w:widowControl w:val="0"/>
        <w:kinsoku/>
        <w:wordWrap/>
        <w:overflowPunct/>
        <w:topLinePunct w:val="0"/>
        <w:bidi w:val="0"/>
        <w:spacing w:before="0" w:after="0"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7、决赛</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1）现场15个项目路演。</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2）领导致辞</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3）现场路演</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4）高峰论坛（人才主题）</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5）颁奖典礼</w:t>
      </w:r>
    </w:p>
    <w:tbl>
      <w:tblPr>
        <w:tblStyle w:val="9"/>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969"/>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2" w:firstLineChars="2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3969" w:type="dxa"/>
            <w:vAlign w:val="center"/>
          </w:tcPr>
          <w:p>
            <w:pPr>
              <w:pageBreakBefore w:val="0"/>
              <w:widowControl w:val="0"/>
              <w:kinsoku/>
              <w:wordWrap/>
              <w:overflowPunct/>
              <w:topLinePunct w:val="0"/>
              <w:bidi w:val="0"/>
              <w:spacing w:after="0" w:line="360" w:lineRule="auto"/>
              <w:ind w:firstLine="422" w:firstLineChars="2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事 项</w:t>
            </w:r>
          </w:p>
        </w:tc>
        <w:tc>
          <w:tcPr>
            <w:tcW w:w="3305" w:type="dxa"/>
            <w:vAlign w:val="center"/>
          </w:tcPr>
          <w:p>
            <w:pPr>
              <w:pageBreakBefore w:val="0"/>
              <w:widowControl w:val="0"/>
              <w:kinsoku/>
              <w:wordWrap/>
              <w:overflowPunct/>
              <w:topLinePunct w:val="0"/>
              <w:bidi w:val="0"/>
              <w:spacing w:after="0" w:line="360" w:lineRule="auto"/>
              <w:ind w:firstLine="422" w:firstLineChars="2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96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宣传片播放</w:t>
            </w:r>
          </w:p>
        </w:tc>
        <w:tc>
          <w:tcPr>
            <w:tcW w:w="330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96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介绍莅临的嘉宾与领导</w:t>
            </w:r>
          </w:p>
        </w:tc>
        <w:tc>
          <w:tcPr>
            <w:tcW w:w="330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96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领导致辞</w:t>
            </w:r>
          </w:p>
        </w:tc>
        <w:tc>
          <w:tcPr>
            <w:tcW w:w="330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96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落地意向书签约</w:t>
            </w:r>
          </w:p>
        </w:tc>
        <w:tc>
          <w:tcPr>
            <w:tcW w:w="330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与政府机构的签约对象根据实际情况安排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96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宣布决赛赛制</w:t>
            </w:r>
          </w:p>
        </w:tc>
        <w:tc>
          <w:tcPr>
            <w:tcW w:w="330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96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项目路演</w:t>
            </w:r>
          </w:p>
        </w:tc>
        <w:tc>
          <w:tcPr>
            <w:tcW w:w="330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396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高峰论坛</w:t>
            </w:r>
          </w:p>
        </w:tc>
        <w:tc>
          <w:tcPr>
            <w:tcW w:w="330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选取论坛主题，拟邀请3位重量级嘉宾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396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大赛颁奖</w:t>
            </w:r>
          </w:p>
        </w:tc>
        <w:tc>
          <w:tcPr>
            <w:tcW w:w="330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结束合影</w:t>
            </w:r>
          </w:p>
        </w:tc>
      </w:tr>
    </w:tbl>
    <w:p>
      <w:pPr>
        <w:pStyle w:val="2"/>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p>
    <w:p>
      <w:pPr>
        <w:pStyle w:val="4"/>
        <w:pageBreakBefore w:val="0"/>
        <w:widowControl w:val="0"/>
        <w:kinsoku/>
        <w:wordWrap/>
        <w:overflowPunct/>
        <w:topLinePunct w:val="0"/>
        <w:bidi w:val="0"/>
        <w:spacing w:beforeAutospacing="0" w:afterAutospacing="0" w:line="360" w:lineRule="auto"/>
        <w:ind w:firstLine="420" w:firstLineChars="200"/>
        <w:jc w:val="left"/>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eastAsia="zh-CN"/>
        </w:rPr>
        <w:t>（七）</w:t>
      </w:r>
      <w:r>
        <w:rPr>
          <w:rFonts w:hint="eastAsia" w:asciiTheme="minorEastAsia" w:hAnsiTheme="minorEastAsia" w:eastAsiaTheme="minorEastAsia" w:cstheme="minorEastAsia"/>
          <w:b w:val="0"/>
          <w:sz w:val="21"/>
          <w:szCs w:val="21"/>
        </w:rPr>
        <w:t>奖项设置</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本次大赛奖项设置如下：</w:t>
      </w:r>
    </w:p>
    <w:p>
      <w:pPr>
        <w:pageBreakBefore w:val="0"/>
        <w:widowControl w:val="0"/>
        <w:numPr>
          <w:ilvl w:val="0"/>
          <w:numId w:val="1"/>
        </w:numPr>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一等奖2名。直接认定“台州500精英计划B类”，配套奖励资金最高300万元。</w:t>
      </w:r>
    </w:p>
    <w:p>
      <w:pPr>
        <w:pageBreakBefore w:val="0"/>
        <w:widowControl w:val="0"/>
        <w:numPr>
          <w:ilvl w:val="0"/>
          <w:numId w:val="1"/>
        </w:numPr>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二等奖3名。直接认定“台州500精英计划C类”，配套奖励资金最高200万元。</w:t>
      </w:r>
    </w:p>
    <w:p>
      <w:pPr>
        <w:pStyle w:val="2"/>
        <w:pageBreakBefore w:val="0"/>
        <w:widowControl w:val="0"/>
        <w:numPr>
          <w:ilvl w:val="0"/>
          <w:numId w:val="1"/>
        </w:numPr>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三等奖若干名。重点推荐参加本年度或下年度“台州市500精英计划”评选。</w:t>
      </w:r>
    </w:p>
    <w:p>
      <w:pPr>
        <w:pStyle w:val="7"/>
        <w:snapToGrid w:val="0"/>
        <w:spacing w:line="400" w:lineRule="exact"/>
        <w:ind w:firstLine="422" w:firstLineChars="200"/>
        <w:jc w:val="left"/>
        <w:rPr>
          <w:rFonts w:hAnsi="宋体" w:cs="宋体"/>
          <w:b/>
          <w:szCs w:val="21"/>
        </w:rPr>
      </w:pPr>
      <w:r>
        <w:rPr>
          <w:rFonts w:hint="eastAsia" w:hAnsi="宋体" w:cs="宋体"/>
          <w:b/>
          <w:szCs w:val="21"/>
        </w:rPr>
        <w:t>三、商务需求</w:t>
      </w:r>
    </w:p>
    <w:p>
      <w:pPr>
        <w:pStyle w:val="7"/>
        <w:snapToGrid w:val="0"/>
        <w:spacing w:line="400" w:lineRule="exact"/>
        <w:ind w:firstLine="422" w:firstLineChars="200"/>
        <w:jc w:val="left"/>
        <w:rPr>
          <w:rFonts w:hAnsi="宋体" w:cs="宋体"/>
          <w:b/>
          <w:kern w:val="0"/>
          <w:szCs w:val="21"/>
        </w:rPr>
      </w:pPr>
      <w:r>
        <w:rPr>
          <w:rFonts w:hint="eastAsia" w:hAnsi="宋体" w:cs="宋体"/>
          <w:b/>
          <w:kern w:val="0"/>
          <w:szCs w:val="21"/>
        </w:rPr>
        <w:t>1服务时间及地点：</w:t>
      </w:r>
      <w:r>
        <w:rPr>
          <w:rFonts w:hint="eastAsia" w:hAnsi="宋体" w:cs="宋体"/>
          <w:kern w:val="0"/>
          <w:szCs w:val="21"/>
        </w:rPr>
        <w:t>同前面“采购项目一览表”内所填内容。</w:t>
      </w:r>
    </w:p>
    <w:p>
      <w:pPr>
        <w:spacing w:line="400" w:lineRule="exact"/>
        <w:ind w:firstLine="422" w:firstLineChars="200"/>
        <w:rPr>
          <w:rFonts w:ascii="宋体" w:hAnsi="宋体" w:cs="宋体"/>
          <w:color w:val="0000FF"/>
          <w:kern w:val="0"/>
          <w:szCs w:val="21"/>
        </w:rPr>
      </w:pPr>
      <w:r>
        <w:rPr>
          <w:rFonts w:hint="eastAsia" w:hAnsi="宋体" w:cs="宋体"/>
          <w:b/>
          <w:kern w:val="0"/>
          <w:szCs w:val="21"/>
        </w:rPr>
        <w:t>2</w:t>
      </w:r>
      <w:r>
        <w:rPr>
          <w:rFonts w:hint="eastAsia" w:hAnsi="宋体" w:cs="宋体"/>
          <w:b/>
          <w:szCs w:val="21"/>
        </w:rPr>
        <w:t>付款条件：</w:t>
      </w:r>
      <w:r>
        <w:rPr>
          <w:rFonts w:hint="eastAsia" w:ascii="宋体" w:hAnsi="宋体" w:cs="宋体"/>
          <w:color w:val="0000FF"/>
          <w:kern w:val="0"/>
          <w:szCs w:val="21"/>
        </w:rPr>
        <w:t>签订合同后15个日历天内支付合同价的35%，选拔赛全部结束后15个日历天内支付合同价的</w:t>
      </w:r>
      <w:r>
        <w:rPr>
          <w:rFonts w:hint="eastAsia" w:ascii="宋体" w:hAnsi="宋体" w:cs="宋体"/>
          <w:color w:val="0000FF"/>
          <w:kern w:val="0"/>
          <w:szCs w:val="21"/>
          <w:lang w:val="en-US" w:eastAsia="zh-CN"/>
        </w:rPr>
        <w:t>3</w:t>
      </w:r>
      <w:r>
        <w:rPr>
          <w:rFonts w:hint="eastAsia" w:ascii="宋体" w:hAnsi="宋体" w:cs="宋体"/>
          <w:color w:val="0000FF"/>
          <w:kern w:val="0"/>
          <w:szCs w:val="21"/>
        </w:rPr>
        <w:t>0%，总决赛暨颁奖典礼结束后15日历天内支付合同价的20%，余</w:t>
      </w:r>
      <w:r>
        <w:rPr>
          <w:rFonts w:hint="eastAsia" w:ascii="宋体" w:hAnsi="宋体" w:cs="宋体"/>
          <w:color w:val="0000FF"/>
          <w:kern w:val="0"/>
          <w:szCs w:val="21"/>
          <w:lang w:val="en-US" w:eastAsia="zh-CN"/>
        </w:rPr>
        <w:t>1</w:t>
      </w:r>
      <w:r>
        <w:rPr>
          <w:rFonts w:hint="eastAsia" w:ascii="宋体" w:hAnsi="宋体" w:cs="宋体"/>
          <w:color w:val="0000FF"/>
          <w:kern w:val="0"/>
          <w:szCs w:val="21"/>
        </w:rPr>
        <w:t>5%待合同期满后须完成大赛引进项目落地指标，并经采购方确认后付清。</w:t>
      </w:r>
    </w:p>
    <w:p>
      <w:pPr>
        <w:spacing w:line="400" w:lineRule="exact"/>
        <w:ind w:firstLine="211" w:firstLineChars="100"/>
        <w:rPr>
          <w:b/>
          <w:szCs w:val="21"/>
        </w:rPr>
      </w:pPr>
      <w:r>
        <w:rPr>
          <w:rFonts w:hint="eastAsia"/>
          <w:b/>
          <w:szCs w:val="21"/>
        </w:rPr>
        <w:t>3</w:t>
      </w:r>
      <w:r>
        <w:rPr>
          <w:b/>
          <w:szCs w:val="21"/>
        </w:rPr>
        <w:t>报价要求</w:t>
      </w:r>
      <w:r>
        <w:rPr>
          <w:rFonts w:hint="eastAsia"/>
          <w:b/>
          <w:szCs w:val="21"/>
        </w:rPr>
        <w:t>：</w:t>
      </w:r>
    </w:p>
    <w:p>
      <w:pPr>
        <w:pStyle w:val="8"/>
        <w:spacing w:before="0" w:beforeAutospacing="0" w:after="0" w:afterAutospacing="0" w:line="400" w:lineRule="exact"/>
        <w:ind w:firstLine="480"/>
        <w:jc w:val="both"/>
        <w:rPr>
          <w:rFonts w:hint="default"/>
          <w:color w:val="000000"/>
          <w:sz w:val="21"/>
          <w:szCs w:val="21"/>
        </w:rPr>
      </w:pPr>
      <w:r>
        <w:rPr>
          <w:color w:val="000000"/>
          <w:sz w:val="21"/>
          <w:szCs w:val="21"/>
        </w:rPr>
        <w:t>3.1投标人应根据采购文件报出合同单价及总价。</w:t>
      </w:r>
    </w:p>
    <w:p>
      <w:pPr>
        <w:pStyle w:val="8"/>
        <w:spacing w:before="0" w:beforeAutospacing="0" w:after="0" w:afterAutospacing="0" w:line="400" w:lineRule="exact"/>
        <w:ind w:firstLine="480"/>
        <w:jc w:val="both"/>
        <w:rPr>
          <w:rFonts w:hint="default"/>
          <w:color w:val="000000"/>
          <w:sz w:val="21"/>
          <w:szCs w:val="21"/>
        </w:rPr>
      </w:pPr>
      <w:r>
        <w:rPr>
          <w:color w:val="000000"/>
          <w:sz w:val="21"/>
          <w:szCs w:val="21"/>
        </w:rPr>
        <w:t>3.2所有报价均应已包含国家规定的所有税费。</w:t>
      </w:r>
    </w:p>
    <w:p>
      <w:pPr>
        <w:pStyle w:val="8"/>
        <w:spacing w:before="0" w:beforeAutospacing="0" w:after="0" w:afterAutospacing="0" w:line="400" w:lineRule="exact"/>
        <w:ind w:firstLine="480"/>
        <w:jc w:val="both"/>
        <w:rPr>
          <w:rFonts w:hint="default"/>
          <w:color w:val="000000"/>
          <w:sz w:val="21"/>
          <w:szCs w:val="21"/>
        </w:rPr>
      </w:pPr>
      <w:r>
        <w:rPr>
          <w:color w:val="000000"/>
          <w:sz w:val="21"/>
          <w:szCs w:val="21"/>
        </w:rPr>
        <w:t>3.3本次招标只允许有一个报价，有选择的报价将不予接受。供应商的报价应包括因承包本次采购项目实施所需的人工、材料、机械、服务、保险、税金等一切税金和费用、风险费以及中标供应商认为有必要计入的其它费用等一切费用。本次大赛获奖项目奖励等项目落地后予以兑现。</w:t>
      </w:r>
    </w:p>
    <w:p>
      <w:pPr>
        <w:pStyle w:val="8"/>
        <w:spacing w:before="0" w:beforeAutospacing="0" w:after="0" w:afterAutospacing="0" w:line="400" w:lineRule="exact"/>
        <w:ind w:firstLine="480"/>
        <w:jc w:val="both"/>
        <w:rPr>
          <w:rFonts w:hint="default"/>
          <w:color w:val="000000"/>
          <w:sz w:val="21"/>
          <w:szCs w:val="21"/>
        </w:rPr>
      </w:pPr>
      <w:r>
        <w:rPr>
          <w:color w:val="000000"/>
          <w:sz w:val="21"/>
          <w:szCs w:val="21"/>
        </w:rPr>
        <w:t>3.4本次采购，采用投标供应商填报咨询收费实值金额（非费率报价形式）的方式进行报价。本项目按照中标价（合同价）一次包干，合同期内采购人不再另行支付其他费用。</w:t>
      </w:r>
    </w:p>
    <w:p>
      <w:pPr>
        <w:pStyle w:val="8"/>
        <w:spacing w:before="0" w:beforeAutospacing="0" w:after="0" w:afterAutospacing="0" w:line="400" w:lineRule="exact"/>
        <w:ind w:firstLine="480"/>
        <w:jc w:val="both"/>
        <w:rPr>
          <w:rFonts w:hint="default"/>
          <w:color w:val="000000"/>
          <w:sz w:val="21"/>
          <w:szCs w:val="21"/>
        </w:rPr>
      </w:pPr>
      <w:r>
        <w:rPr>
          <w:color w:val="000000"/>
          <w:sz w:val="21"/>
          <w:szCs w:val="21"/>
        </w:rPr>
        <w:t>3.5供应商在投标价中应充分考虑所有可能发生的费用，否则采购人将视投标价中已包括所有费用。</w:t>
      </w:r>
    </w:p>
    <w:p>
      <w:r>
        <w:rPr>
          <w:rFonts w:hint="eastAsia" w:asciiTheme="minorEastAsia" w:hAnsiTheme="minorEastAsia" w:eastAsiaTheme="minorEastAsia"/>
          <w:b/>
          <w:sz w:val="36"/>
          <w:szCs w:val="36"/>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832DD"/>
    <w:multiLevelType w:val="singleLevel"/>
    <w:tmpl w:val="589832DD"/>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13064"/>
    <w:rsid w:val="5A613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spacing w:beforeAutospacing="1" w:after="0" w:afterAutospacing="1"/>
      <w:jc w:val="center"/>
      <w:outlineLvl w:val="0"/>
    </w:pPr>
    <w:rPr>
      <w:rFonts w:ascii="微软雅黑" w:hAnsi="微软雅黑"/>
      <w:b/>
      <w:kern w:val="44"/>
      <w:sz w:val="36"/>
      <w:szCs w:val="48"/>
    </w:rPr>
  </w:style>
  <w:style w:type="paragraph" w:styleId="5">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6">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7">
    <w:name w:val="Plain Text"/>
    <w:basedOn w:val="1"/>
    <w:qFormat/>
    <w:uiPriority w:val="0"/>
    <w:rPr>
      <w:rFonts w:ascii="宋体" w:hAnsi="Courier New" w:cstheme="minorBidi"/>
    </w:rPr>
  </w:style>
  <w:style w:type="paragraph" w:styleId="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
    <w:name w:val="正文 New New New New New New New New New"/>
    <w:qFormat/>
    <w:uiPriority w:val="99"/>
    <w:pPr>
      <w:widowControl w:val="0"/>
      <w:jc w:val="both"/>
    </w:pPr>
    <w:rPr>
      <w:rFonts w:ascii="仿宋_GB2312" w:hAnsi="Times New Roman" w:eastAsia="仿宋_GB2312" w:cs="Times New Roman"/>
      <w:color w:val="000000"/>
      <w:kern w:val="2"/>
      <w:sz w:val="30"/>
      <w:szCs w:val="3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2020-05-19T07:36:00Z</dcterms:created>
  <dc:creator>Administrator</dc:creator>
  <cp:lastModifiedBy>Administrator</cp:lastModifiedBy>
  <dcterms:modified xsi:type="dcterms:W3CDTF">2020-05-19T07:36:49Z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