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default" w:ascii="宋体" w:hAnsi="宋体" w:eastAsia="宋体" w:cs="宋体"/>
          <w:color w:val="auto"/>
          <w:kern w:val="0"/>
          <w:sz w:val="30"/>
          <w:szCs w:val="30"/>
          <w:highlight w:val="none"/>
          <w:lang w:val="en-US" w:eastAsia="zh-CN"/>
        </w:rPr>
      </w:pPr>
      <w:r>
        <w:rPr>
          <w:rFonts w:hint="eastAsia" w:ascii="宋体" w:hAnsi="宋体" w:cs="宋体"/>
          <w:color w:val="auto"/>
          <w:kern w:val="0"/>
          <w:sz w:val="30"/>
          <w:szCs w:val="30"/>
          <w:highlight w:val="none"/>
        </w:rPr>
        <w:t>TZHXCG-2020-</w:t>
      </w:r>
      <w:r>
        <w:rPr>
          <w:rFonts w:hint="eastAsia" w:ascii="宋体" w:hAnsi="宋体" w:cs="宋体"/>
          <w:color w:val="auto"/>
          <w:kern w:val="0"/>
          <w:sz w:val="30"/>
          <w:szCs w:val="30"/>
          <w:highlight w:val="none"/>
          <w:lang w:val="en-US" w:eastAsia="zh-CN"/>
        </w:rPr>
        <w:t>029</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ascii="宋体" w:hAnsi="宋体" w:cs="宋体"/>
          <w:color w:val="auto"/>
          <w:kern w:val="0"/>
          <w:sz w:val="30"/>
          <w:szCs w:val="30"/>
          <w:highlight w:val="none"/>
        </w:rPr>
      </w:pPr>
    </w:p>
    <w:p>
      <w:pPr>
        <w:spacing w:line="360" w:lineRule="auto"/>
        <w:ind w:left="2240" w:leftChars="400" w:hanging="1400" w:hangingChars="5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采购项目：玉环市道路运输管理局公交智能化及</w:t>
      </w:r>
      <w:r>
        <w:rPr>
          <w:rFonts w:hint="eastAsia" w:ascii="宋体" w:hAnsi="宋体" w:cs="宋体"/>
          <w:color w:val="auto"/>
          <w:kern w:val="0"/>
          <w:sz w:val="28"/>
          <w:szCs w:val="28"/>
          <w:highlight w:val="none"/>
          <w:lang w:eastAsia="zh-CN"/>
        </w:rPr>
        <w:t>出租车智能车载终端系统项目</w:t>
      </w:r>
      <w:r>
        <w:rPr>
          <w:rFonts w:hint="eastAsia" w:ascii="宋体" w:hAnsi="宋体" w:cs="宋体"/>
          <w:color w:val="auto"/>
          <w:kern w:val="0"/>
          <w:sz w:val="28"/>
          <w:szCs w:val="28"/>
          <w:highlight w:val="none"/>
        </w:rPr>
        <w:t>监理</w:t>
      </w:r>
    </w:p>
    <w:p>
      <w:pPr>
        <w:spacing w:line="360" w:lineRule="auto"/>
        <w:ind w:firstLine="1120" w:firstLineChars="4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采购人：玉环市道路运输事务中心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pPr>
        <w:pStyle w:val="33"/>
        <w:rPr>
          <w:rFonts w:ascii="宋体" w:hAnsi="宋体" w:cs="宋体"/>
          <w:color w:val="auto"/>
          <w:sz w:val="30"/>
          <w:szCs w:val="30"/>
          <w:highlight w:val="none"/>
        </w:rPr>
      </w:pPr>
    </w:p>
    <w:p>
      <w:pPr>
        <w:pStyle w:val="2"/>
        <w:rPr>
          <w:rFonts w:ascii="宋体" w:hAnsi="宋体" w:cs="宋体"/>
          <w:color w:val="auto"/>
          <w:kern w:val="0"/>
          <w:sz w:val="30"/>
          <w:szCs w:val="30"/>
          <w:highlight w:val="none"/>
        </w:rPr>
      </w:pPr>
    </w:p>
    <w:p>
      <w:pPr>
        <w:pStyle w:val="3"/>
        <w:rPr>
          <w:rFonts w:ascii="宋体" w:hAnsi="宋体" w:cs="宋体"/>
          <w:color w:val="auto"/>
          <w:sz w:val="30"/>
          <w:szCs w:val="30"/>
          <w:highlight w:val="none"/>
        </w:rPr>
      </w:pPr>
    </w:p>
    <w:p>
      <w:pPr>
        <w:rPr>
          <w:rFonts w:ascii="宋体" w:hAnsi="宋体" w:cs="宋体"/>
          <w:color w:val="auto"/>
          <w:kern w:val="0"/>
          <w:sz w:val="30"/>
          <w:szCs w:val="30"/>
          <w:highlight w:val="none"/>
        </w:rPr>
      </w:pPr>
    </w:p>
    <w:p>
      <w:pPr>
        <w:pStyle w:val="33"/>
        <w:rPr>
          <w:rFonts w:ascii="宋体" w:hAnsi="宋体" w:cs="宋体"/>
          <w:color w:val="auto"/>
          <w:sz w:val="30"/>
          <w:szCs w:val="30"/>
          <w:highlight w:val="none"/>
        </w:rPr>
      </w:pPr>
    </w:p>
    <w:p>
      <w:pPr>
        <w:pStyle w:val="2"/>
        <w:rPr>
          <w:color w:val="auto"/>
          <w:highlight w:val="none"/>
        </w:rPr>
      </w:pPr>
    </w:p>
    <w:p>
      <w:pPr>
        <w:spacing w:line="360" w:lineRule="auto"/>
        <w:ind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台州恒信工程造价咨询有限公司</w:t>
      </w:r>
    </w:p>
    <w:p>
      <w:pPr>
        <w:spacing w:line="360" w:lineRule="auto"/>
        <w:ind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2020年6月</w:t>
      </w:r>
    </w:p>
    <w:p>
      <w:pPr>
        <w:pStyle w:val="17"/>
        <w:jc w:val="both"/>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4"/>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4"/>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4"/>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4"/>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4"/>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4"/>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w:t>
      </w:r>
      <w:r>
        <w:rPr>
          <w:rFonts w:hint="eastAsia" w:asciiTheme="minorEastAsia" w:hAnsiTheme="minorEastAsia" w:eastAsiaTheme="minorEastAsia"/>
          <w:color w:val="auto"/>
          <w:sz w:val="24"/>
          <w:highlight w:val="none"/>
        </w:rPr>
        <w:t>玉环市道路运输事务中心</w:t>
      </w:r>
      <w:r>
        <w:rPr>
          <w:rFonts w:hint="eastAsia" w:asciiTheme="minorEastAsia" w:hAnsiTheme="minorEastAsia" w:eastAsiaTheme="minorEastAsia"/>
          <w:color w:val="auto"/>
          <w:kern w:val="0"/>
          <w:sz w:val="24"/>
          <w:highlight w:val="none"/>
        </w:rPr>
        <w:t>委托，现就玉环市道路运输管理局公交智能化及</w:t>
      </w:r>
      <w:r>
        <w:rPr>
          <w:rFonts w:hint="eastAsia" w:asciiTheme="minorEastAsia" w:hAnsiTheme="minorEastAsia" w:eastAsiaTheme="minorEastAsia"/>
          <w:color w:val="auto"/>
          <w:kern w:val="0"/>
          <w:sz w:val="24"/>
          <w:highlight w:val="none"/>
          <w:lang w:eastAsia="zh-CN"/>
        </w:rPr>
        <w:t>出租车智能车载终端系统项目</w:t>
      </w:r>
      <w:r>
        <w:rPr>
          <w:rFonts w:hint="eastAsia" w:asciiTheme="minorEastAsia" w:hAnsiTheme="minorEastAsia" w:eastAsiaTheme="minorEastAsia"/>
          <w:color w:val="auto"/>
          <w:kern w:val="0"/>
          <w:sz w:val="24"/>
          <w:highlight w:val="none"/>
        </w:rPr>
        <w:t>监理进行公开招标采购，欢迎合格供应商前来投标。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b/>
          <w:color w:val="auto"/>
          <w:kern w:val="0"/>
          <w:sz w:val="24"/>
          <w:highlight w:val="none"/>
        </w:rPr>
        <w:t>一、项目编号：TZHXCG-2020-</w:t>
      </w:r>
      <w:r>
        <w:rPr>
          <w:rFonts w:hint="eastAsia" w:asciiTheme="minorEastAsia" w:hAnsiTheme="minorEastAsia" w:eastAsiaTheme="minorEastAsia"/>
          <w:b/>
          <w:color w:val="auto"/>
          <w:kern w:val="0"/>
          <w:sz w:val="24"/>
          <w:highlight w:val="none"/>
          <w:lang w:val="en-US" w:eastAsia="zh-CN"/>
        </w:rPr>
        <w:t>029</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2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22"/>
        <w:gridCol w:w="1245"/>
        <w:gridCol w:w="1245"/>
        <w:gridCol w:w="120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Align w:val="center"/>
          </w:tcPr>
          <w:p>
            <w:pPr>
              <w:jc w:val="center"/>
              <w:rPr>
                <w:b/>
                <w:color w:val="auto"/>
                <w:sz w:val="24"/>
                <w:highlight w:val="none"/>
              </w:rPr>
            </w:pPr>
            <w:r>
              <w:rPr>
                <w:rFonts w:hint="eastAsia"/>
                <w:b/>
                <w:color w:val="auto"/>
                <w:sz w:val="24"/>
                <w:highlight w:val="none"/>
              </w:rPr>
              <w:t>序号</w:t>
            </w:r>
          </w:p>
        </w:tc>
        <w:tc>
          <w:tcPr>
            <w:tcW w:w="3222" w:type="dxa"/>
            <w:vAlign w:val="center"/>
          </w:tcPr>
          <w:p>
            <w:pPr>
              <w:jc w:val="center"/>
              <w:rPr>
                <w:b/>
                <w:color w:val="auto"/>
                <w:sz w:val="24"/>
                <w:highlight w:val="none"/>
              </w:rPr>
            </w:pPr>
            <w:r>
              <w:rPr>
                <w:rFonts w:hint="eastAsia"/>
                <w:b/>
                <w:color w:val="auto"/>
                <w:sz w:val="24"/>
                <w:highlight w:val="none"/>
              </w:rPr>
              <w:t>监理服务名称</w:t>
            </w:r>
          </w:p>
        </w:tc>
        <w:tc>
          <w:tcPr>
            <w:tcW w:w="1245" w:type="dxa"/>
            <w:vAlign w:val="center"/>
          </w:tcPr>
          <w:p>
            <w:pPr>
              <w:jc w:val="center"/>
              <w:rPr>
                <w:b/>
                <w:color w:val="auto"/>
                <w:sz w:val="24"/>
                <w:highlight w:val="none"/>
              </w:rPr>
            </w:pPr>
            <w:r>
              <w:rPr>
                <w:rFonts w:hint="eastAsia"/>
                <w:b/>
                <w:color w:val="auto"/>
                <w:sz w:val="24"/>
                <w:highlight w:val="none"/>
              </w:rPr>
              <w:t>监理服务需求</w:t>
            </w:r>
          </w:p>
        </w:tc>
        <w:tc>
          <w:tcPr>
            <w:tcW w:w="1245" w:type="dxa"/>
            <w:vAlign w:val="center"/>
          </w:tcPr>
          <w:p>
            <w:pPr>
              <w:jc w:val="center"/>
              <w:rPr>
                <w:b/>
                <w:color w:val="auto"/>
                <w:sz w:val="24"/>
                <w:highlight w:val="none"/>
              </w:rPr>
            </w:pPr>
            <w:r>
              <w:rPr>
                <w:rFonts w:hint="eastAsia"/>
                <w:b/>
                <w:color w:val="auto"/>
                <w:sz w:val="24"/>
                <w:highlight w:val="none"/>
              </w:rPr>
              <w:t>工期</w:t>
            </w:r>
          </w:p>
        </w:tc>
        <w:tc>
          <w:tcPr>
            <w:tcW w:w="1200" w:type="dxa"/>
            <w:vAlign w:val="center"/>
          </w:tcPr>
          <w:p>
            <w:pPr>
              <w:jc w:val="center"/>
              <w:rPr>
                <w:b/>
                <w:color w:val="auto"/>
                <w:sz w:val="24"/>
                <w:highlight w:val="none"/>
              </w:rPr>
            </w:pPr>
            <w:r>
              <w:rPr>
                <w:rFonts w:hint="eastAsia"/>
                <w:b/>
                <w:color w:val="auto"/>
                <w:sz w:val="24"/>
                <w:highlight w:val="none"/>
              </w:rPr>
              <w:t>项目地点</w:t>
            </w:r>
          </w:p>
        </w:tc>
        <w:tc>
          <w:tcPr>
            <w:tcW w:w="1106" w:type="dxa"/>
            <w:tcBorders>
              <w:bottom w:val="single" w:color="auto" w:sz="4" w:space="0"/>
            </w:tcBorders>
            <w:vAlign w:val="center"/>
          </w:tcPr>
          <w:p>
            <w:pPr>
              <w:jc w:val="center"/>
              <w:rPr>
                <w:b/>
                <w:color w:val="auto"/>
                <w:sz w:val="24"/>
                <w:highlight w:val="none"/>
              </w:rPr>
            </w:pPr>
            <w:r>
              <w:rPr>
                <w:rFonts w:hint="eastAsia"/>
                <w:b/>
                <w:color w:val="auto"/>
                <w:sz w:val="24"/>
                <w:highlight w:val="none"/>
              </w:rPr>
              <w:t>预算</w:t>
            </w:r>
          </w:p>
          <w:p>
            <w:pPr>
              <w:jc w:val="center"/>
              <w:rPr>
                <w:b/>
                <w:color w:val="auto"/>
                <w:sz w:val="24"/>
                <w:highlight w:val="none"/>
              </w:rPr>
            </w:pPr>
            <w:r>
              <w:rPr>
                <w:rFonts w:hint="eastAsia"/>
                <w:b/>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37" w:type="dxa"/>
            <w:vAlign w:val="center"/>
          </w:tcPr>
          <w:p>
            <w:pPr>
              <w:pStyle w:val="11"/>
              <w:snapToGrid w:val="0"/>
              <w:spacing w:before="120" w:after="120"/>
              <w:jc w:val="center"/>
              <w:outlineLvl w:val="0"/>
              <w:rPr>
                <w:rFonts w:hAnsi="宋体" w:cs="仿宋_GB2312"/>
                <w:color w:val="auto"/>
                <w:sz w:val="24"/>
                <w:highlight w:val="none"/>
              </w:rPr>
            </w:pPr>
            <w:r>
              <w:rPr>
                <w:rFonts w:hint="eastAsia" w:hAnsi="宋体"/>
                <w:color w:val="auto"/>
                <w:sz w:val="24"/>
                <w:highlight w:val="none"/>
              </w:rPr>
              <w:t>1</w:t>
            </w:r>
          </w:p>
        </w:tc>
        <w:tc>
          <w:tcPr>
            <w:tcW w:w="3222" w:type="dxa"/>
            <w:vAlign w:val="center"/>
          </w:tcPr>
          <w:p>
            <w:pPr>
              <w:pStyle w:val="99"/>
              <w:jc w:val="center"/>
              <w:rPr>
                <w:rFonts w:hAnsi="宋体" w:cs="仿宋_GB2312"/>
                <w:color w:val="auto"/>
                <w:highlight w:val="none"/>
              </w:rPr>
            </w:pPr>
            <w:r>
              <w:rPr>
                <w:rFonts w:hint="eastAsia" w:ascii="宋体" w:hAnsi="宋体" w:eastAsia="宋体"/>
                <w:color w:val="auto"/>
                <w:highlight w:val="none"/>
              </w:rPr>
              <w:t>玉环市道路运输管理局公交智能化及</w:t>
            </w:r>
            <w:r>
              <w:rPr>
                <w:rFonts w:hint="eastAsia" w:ascii="宋体" w:hAnsi="宋体" w:eastAsia="宋体"/>
                <w:color w:val="auto"/>
                <w:highlight w:val="none"/>
                <w:lang w:eastAsia="zh-CN"/>
              </w:rPr>
              <w:t>出租车智能车载终端系统项目</w:t>
            </w:r>
            <w:r>
              <w:rPr>
                <w:rFonts w:hint="eastAsia" w:ascii="宋体" w:hAnsi="宋体" w:eastAsia="宋体"/>
                <w:color w:val="auto"/>
                <w:highlight w:val="none"/>
              </w:rPr>
              <w:t>监理</w:t>
            </w:r>
          </w:p>
        </w:tc>
        <w:tc>
          <w:tcPr>
            <w:tcW w:w="1245" w:type="dxa"/>
            <w:vAlign w:val="center"/>
          </w:tcPr>
          <w:p>
            <w:pPr>
              <w:pStyle w:val="99"/>
              <w:jc w:val="center"/>
              <w:rPr>
                <w:rFonts w:hAnsi="宋体" w:cs="仿宋_GB2312"/>
                <w:color w:val="auto"/>
                <w:highlight w:val="none"/>
              </w:rPr>
            </w:pPr>
            <w:r>
              <w:rPr>
                <w:rFonts w:hint="eastAsia" w:ascii="宋体" w:hAnsi="宋体" w:eastAsia="宋体"/>
                <w:color w:val="auto"/>
                <w:highlight w:val="none"/>
              </w:rPr>
              <w:t>详见公开招标需求</w:t>
            </w:r>
          </w:p>
        </w:tc>
        <w:tc>
          <w:tcPr>
            <w:tcW w:w="1245" w:type="dxa"/>
            <w:vAlign w:val="center"/>
          </w:tcPr>
          <w:p>
            <w:pPr>
              <w:pStyle w:val="99"/>
              <w:jc w:val="center"/>
              <w:rPr>
                <w:rFonts w:hAnsi="宋体" w:cs="仿宋_GB2312"/>
                <w:color w:val="auto"/>
                <w:highlight w:val="none"/>
              </w:rPr>
            </w:pPr>
            <w:r>
              <w:rPr>
                <w:rFonts w:hint="eastAsia" w:ascii="宋体" w:hAnsi="宋体" w:eastAsia="宋体"/>
                <w:color w:val="auto"/>
                <w:highlight w:val="none"/>
              </w:rPr>
              <w:t>监理服务工期随项目</w:t>
            </w:r>
            <w:r>
              <w:rPr>
                <w:rFonts w:ascii="宋体" w:hAnsi="宋体" w:eastAsia="宋体"/>
                <w:color w:val="auto"/>
                <w:highlight w:val="none"/>
              </w:rPr>
              <w:t>工期</w:t>
            </w:r>
          </w:p>
        </w:tc>
        <w:tc>
          <w:tcPr>
            <w:tcW w:w="1200" w:type="dxa"/>
            <w:vAlign w:val="center"/>
          </w:tcPr>
          <w:p>
            <w:pPr>
              <w:pStyle w:val="99"/>
              <w:jc w:val="center"/>
              <w:rPr>
                <w:rFonts w:hAnsi="宋体" w:cs="仿宋_GB2312"/>
                <w:color w:val="auto"/>
                <w:highlight w:val="none"/>
              </w:rPr>
            </w:pPr>
            <w:r>
              <w:rPr>
                <w:rFonts w:hint="eastAsia" w:ascii="宋体" w:hAnsi="宋体" w:eastAsia="宋体"/>
                <w:color w:val="auto"/>
                <w:highlight w:val="none"/>
              </w:rPr>
              <w:t>玉环市道路运输管理局</w:t>
            </w:r>
            <w:r>
              <w:rPr>
                <w:rFonts w:ascii="宋体" w:hAnsi="宋体" w:eastAsia="宋体"/>
                <w:color w:val="auto"/>
                <w:highlight w:val="none"/>
              </w:rPr>
              <w:t>指定地点</w:t>
            </w:r>
          </w:p>
        </w:tc>
        <w:tc>
          <w:tcPr>
            <w:tcW w:w="1106" w:type="dxa"/>
            <w:vAlign w:val="center"/>
          </w:tcPr>
          <w:p>
            <w:pPr>
              <w:pStyle w:val="99"/>
              <w:jc w:val="center"/>
              <w:rPr>
                <w:rFonts w:hAnsi="宋体" w:cs="仿宋_GB2312"/>
                <w:color w:val="auto"/>
                <w:highlight w:val="none"/>
              </w:rPr>
            </w:pPr>
            <w:r>
              <w:rPr>
                <w:rFonts w:hint="eastAsia" w:ascii="宋体" w:hAnsi="宋体" w:eastAsia="宋体"/>
                <w:color w:val="auto"/>
                <w:highlight w:val="none"/>
              </w:rPr>
              <w:t>337677</w:t>
            </w:r>
          </w:p>
        </w:tc>
      </w:tr>
    </w:tbl>
    <w:p>
      <w:pPr>
        <w:tabs>
          <w:tab w:val="left" w:pos="180"/>
          <w:tab w:val="left" w:pos="360"/>
          <w:tab w:val="left" w:pos="540"/>
          <w:tab w:val="left" w:pos="8280"/>
        </w:tabs>
        <w:autoSpaceDE w:val="0"/>
        <w:autoSpaceDN w:val="0"/>
        <w:adjustRightInd w:val="0"/>
        <w:spacing w:before="100" w:line="400" w:lineRule="exact"/>
        <w:ind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三、合格投标人的资格条件：</w:t>
      </w:r>
    </w:p>
    <w:p>
      <w:pPr>
        <w:tabs>
          <w:tab w:val="left" w:pos="180"/>
          <w:tab w:val="left" w:pos="360"/>
          <w:tab w:val="left" w:pos="540"/>
          <w:tab w:val="left" w:pos="8280"/>
        </w:tabs>
        <w:autoSpaceDE w:val="0"/>
        <w:autoSpaceDN w:val="0"/>
        <w:adjustRightInd w:val="0"/>
        <w:spacing w:before="100" w:line="400" w:lineRule="exact"/>
        <w:ind w:right="23"/>
        <w:jc w:val="left"/>
        <w:rPr>
          <w:rFonts w:ascii="宋体" w:hAnsi="宋体"/>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pStyle w:val="20"/>
        <w:spacing w:line="4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pStyle w:val="20"/>
        <w:spacing w:line="4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pPr>
        <w:pStyle w:val="20"/>
        <w:spacing w:line="4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（3）有依法缴纳税收和社会保障资金的良好记录；</w:t>
      </w:r>
      <w:r>
        <w:rPr>
          <w:rFonts w:asciiTheme="minorEastAsia" w:hAnsiTheme="minorEastAsia" w:eastAsiaTheme="minorEastAsia" w:cstheme="minorEastAsia"/>
          <w:color w:val="auto"/>
          <w:sz w:val="24"/>
          <w:highlight w:val="none"/>
        </w:rPr>
        <w:t xml:space="preserve"> </w:t>
      </w:r>
    </w:p>
    <w:p>
      <w:pPr>
        <w:pStyle w:val="20"/>
        <w:spacing w:line="400" w:lineRule="exact"/>
        <w:ind w:firstLine="480"/>
        <w:rPr>
          <w:rFonts w:hAnsi="宋体" w:cs="仿宋_GB2312"/>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hAnsi="宋体" w:cs="仿宋_GB2312"/>
          <w:color w:val="auto"/>
          <w:sz w:val="24"/>
          <w:highlight w:val="none"/>
        </w:rPr>
        <w:t>具有有效期内的信息系统工程监理单位证书；</w:t>
      </w:r>
    </w:p>
    <w:p>
      <w:pPr>
        <w:pStyle w:val="20"/>
        <w:spacing w:line="4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hAnsi="宋体" w:cs="仿宋_GB2312"/>
          <w:color w:val="auto"/>
          <w:sz w:val="24"/>
          <w:highlight w:val="none"/>
        </w:rPr>
        <w:t>项目总监理工程师具有信息系统监理师资格证书；</w:t>
      </w:r>
    </w:p>
    <w:p>
      <w:pPr>
        <w:pStyle w:val="20"/>
        <w:spacing w:line="4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（6）参加政府采购活动前三年内，在经营活动中没有重大违法记录；</w:t>
      </w:r>
    </w:p>
    <w:p>
      <w:pPr>
        <w:pStyle w:val="20"/>
        <w:spacing w:line="4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（7）法律、行政法规规定的其他条件。</w:t>
      </w:r>
    </w:p>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（二）本项目不接受联合体投标。</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四、招标文件获取的方式、地址：</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1、本项目招标文件实行“政府采购云平台”在线获取，不提供招标文件纸质版。</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2、获取地址：“政府采购云平台”（http://zfcg.czt.zj.gov.cn）；</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3、获取招标文件流程：</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（1）尚未注册浙江政府采购网正式供应商的应先进行注册申请，注册流程详见“浙江政府采购网—网上办事指南—供应商注册申请”，注册申请免费。</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潜在供应商登录“政府采购云平台”进入“项目采购”应用模块，点击菜单的“申请获取招标文件”，填写获取招标文件的申请信息，点击“下载招标文件”即可获取招标文件（仅需浏览招标文件的供应商可点击“游客，浏览招标文件”直接下载招标文件浏览）。</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（3）潜在供应商获取招标文件时须提交的文件资料：无；</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采购公告附件里的招标文件仅供阅览使用，供应商只有在“政府采购云平台”完成获取招标文件申请并下载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rPr>
        <w:t>注：</w:t>
      </w:r>
      <w:r>
        <w:rPr>
          <w:rFonts w:hint="eastAsia" w:cs="Arial" w:asciiTheme="minorEastAsia" w:hAnsiTheme="minorEastAsia" w:eastAsiaTheme="minorEastAsia"/>
          <w:color w:val="auto"/>
          <w:sz w:val="24"/>
          <w:highlight w:val="none"/>
        </w:rPr>
        <w:t>请潜在供应商按上述要求获取招标文件，非通过以上方式获取招标文件的潜在供应商，对招标文件提起质疑投诉的，不予受理。采购代理机构将拒绝接受非通过以上方式获取招标文件的供应商投标文件，由此引起的投标无效责任自负。</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五、招标答疑会：</w:t>
      </w:r>
      <w:r>
        <w:rPr>
          <w:rFonts w:hint="eastAsia" w:cs="Arial" w:asciiTheme="minorEastAsia" w:hAnsiTheme="minorEastAsia" w:eastAsiaTheme="minorEastAsia"/>
          <w:color w:val="auto"/>
          <w:sz w:val="24"/>
          <w:highlight w:val="none"/>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投标截止时间、投标地点及开标时间、地点：</w:t>
      </w:r>
    </w:p>
    <w:p>
      <w:pPr>
        <w:pStyle w:val="9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（一）、投标截止时间：2020年0</w:t>
      </w:r>
      <w:r>
        <w:rPr>
          <w:rFonts w:hint="eastAsia" w:cs="Times New Roman" w:asciiTheme="minorEastAsia" w:hAnsiTheme="minorEastAsia" w:eastAsiaTheme="minorEastAsia"/>
          <w:color w:val="auto"/>
          <w:kern w:val="2"/>
          <w:sz w:val="24"/>
          <w:szCs w:val="24"/>
          <w:highlight w:val="none"/>
          <w:lang w:val="en-US" w:eastAsia="zh-CN"/>
        </w:rPr>
        <w:t>7</w:t>
      </w:r>
      <w:r>
        <w:rPr>
          <w:rFonts w:hint="eastAsia" w:cs="Times New Roman" w:asciiTheme="minorEastAsia" w:hAnsiTheme="minorEastAsia" w:eastAsiaTheme="minorEastAsia"/>
          <w:color w:val="auto"/>
          <w:kern w:val="2"/>
          <w:sz w:val="24"/>
          <w:szCs w:val="24"/>
          <w:highlight w:val="none"/>
        </w:rPr>
        <w:t>月</w:t>
      </w:r>
      <w:r>
        <w:rPr>
          <w:rFonts w:hint="eastAsia" w:cs="Times New Roman" w:asciiTheme="minorEastAsia" w:hAnsiTheme="minorEastAsia" w:eastAsiaTheme="minorEastAsia"/>
          <w:color w:val="auto"/>
          <w:kern w:val="2"/>
          <w:sz w:val="24"/>
          <w:szCs w:val="24"/>
          <w:highlight w:val="none"/>
          <w:lang w:val="en-US" w:eastAsia="zh-CN"/>
        </w:rPr>
        <w:t>06</w:t>
      </w:r>
      <w:r>
        <w:rPr>
          <w:rFonts w:hint="eastAsia" w:cs="Times New Roman" w:asciiTheme="minorEastAsia" w:hAnsiTheme="minorEastAsia" w:eastAsiaTheme="minorEastAsia"/>
          <w:color w:val="auto"/>
          <w:kern w:val="2"/>
          <w:sz w:val="24"/>
          <w:szCs w:val="24"/>
          <w:highlight w:val="none"/>
        </w:rPr>
        <w:t>日09:00:00</w:t>
      </w:r>
    </w:p>
    <w:p>
      <w:pPr>
        <w:pStyle w:val="9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（二）、投标地点：通过“政府采购云平台（www.zcygov.cn）”实行在线投标响应。</w:t>
      </w:r>
    </w:p>
    <w:p>
      <w:pPr>
        <w:pStyle w:val="9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（三）、开标时间：2020年0</w:t>
      </w:r>
      <w:r>
        <w:rPr>
          <w:rFonts w:hint="eastAsia" w:cs="Times New Roman" w:asciiTheme="minorEastAsia" w:hAnsiTheme="minorEastAsia" w:eastAsiaTheme="minorEastAsia"/>
          <w:color w:val="auto"/>
          <w:kern w:val="2"/>
          <w:sz w:val="24"/>
          <w:szCs w:val="24"/>
          <w:highlight w:val="none"/>
          <w:lang w:val="en-US" w:eastAsia="zh-CN"/>
        </w:rPr>
        <w:t>7</w:t>
      </w:r>
      <w:r>
        <w:rPr>
          <w:rFonts w:hint="eastAsia" w:cs="Times New Roman" w:asciiTheme="minorEastAsia" w:hAnsiTheme="minorEastAsia" w:eastAsiaTheme="minorEastAsia"/>
          <w:color w:val="auto"/>
          <w:kern w:val="2"/>
          <w:sz w:val="24"/>
          <w:szCs w:val="24"/>
          <w:highlight w:val="none"/>
        </w:rPr>
        <w:t>月</w:t>
      </w:r>
      <w:r>
        <w:rPr>
          <w:rFonts w:hint="eastAsia" w:cs="Times New Roman" w:asciiTheme="minorEastAsia" w:hAnsiTheme="minorEastAsia" w:eastAsiaTheme="minorEastAsia"/>
          <w:color w:val="auto"/>
          <w:kern w:val="2"/>
          <w:sz w:val="24"/>
          <w:szCs w:val="24"/>
          <w:highlight w:val="none"/>
          <w:lang w:val="en-US" w:eastAsia="zh-CN"/>
        </w:rPr>
        <w:t>06</w:t>
      </w:r>
      <w:r>
        <w:rPr>
          <w:rFonts w:hint="eastAsia" w:cs="Times New Roman" w:asciiTheme="minorEastAsia" w:hAnsiTheme="minorEastAsia" w:eastAsiaTheme="minorEastAsia"/>
          <w:color w:val="auto"/>
          <w:kern w:val="2"/>
          <w:sz w:val="24"/>
          <w:szCs w:val="24"/>
          <w:highlight w:val="none"/>
        </w:rPr>
        <w:t>日09:00:00</w:t>
      </w:r>
    </w:p>
    <w:p>
      <w:pPr>
        <w:pStyle w:val="9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（四）、开标地点：通过“政府采购云平台（www.zcygov.cn）”实行在线投标响应。</w:t>
      </w:r>
    </w:p>
    <w:p>
      <w:pPr>
        <w:pStyle w:val="98"/>
        <w:snapToGrid w:val="0"/>
        <w:spacing w:line="360" w:lineRule="auto"/>
        <w:ind w:firstLine="482" w:firstLineChars="200"/>
        <w:rPr>
          <w:rFonts w:cs="Times New Roman" w:asciiTheme="minorEastAsia" w:hAnsiTheme="minorEastAsia" w:eastAsiaTheme="minorEastAsia"/>
          <w:b/>
          <w:bCs/>
          <w:color w:val="auto"/>
          <w:kern w:val="2"/>
          <w:sz w:val="24"/>
          <w:szCs w:val="24"/>
          <w:highlight w:val="none"/>
        </w:rPr>
      </w:pPr>
      <w:r>
        <w:rPr>
          <w:rFonts w:hint="eastAsia" w:cs="Times New Roman" w:asciiTheme="minorEastAsia" w:hAnsiTheme="minorEastAsia" w:eastAsiaTheme="minorEastAsia"/>
          <w:b/>
          <w:bCs/>
          <w:color w:val="auto"/>
          <w:kern w:val="2"/>
          <w:sz w:val="24"/>
          <w:szCs w:val="24"/>
          <w:highlight w:val="none"/>
        </w:rPr>
        <w:t>在线投标响应（电子招投标）</w:t>
      </w:r>
      <w:bookmarkStart w:id="4" w:name="_GoBack"/>
      <w:bookmarkEnd w:id="4"/>
      <w:r>
        <w:rPr>
          <w:rFonts w:hint="eastAsia" w:cs="Times New Roman" w:asciiTheme="minorEastAsia" w:hAnsiTheme="minorEastAsia" w:eastAsiaTheme="minorEastAsia"/>
          <w:b/>
          <w:bCs/>
          <w:color w:val="auto"/>
          <w:kern w:val="2"/>
          <w:sz w:val="24"/>
          <w:szCs w:val="24"/>
          <w:highlight w:val="none"/>
        </w:rPr>
        <w:t>说明：</w:t>
      </w:r>
    </w:p>
    <w:p>
      <w:pPr>
        <w:pStyle w:val="9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1、本项目通过“政府采购云平台（www.zcygov.cn）”实行在线投标响应（电子招投标），供应商应先安装“政采云电子交易客户端”（请自行前往“浙江政府采购网-下载专区-电子交易客户端”进行下载），并按照本项目招标文件和“政府采购云平台”的要求编制、加密并递交投标文件。电子投标具体操作流程详见《供应商项目采购-电子招投标操作指南》，供应商在使用系统参与在线投标时如遇平台技术问题，可致电咨询400-881-7190。</w:t>
      </w:r>
    </w:p>
    <w:p>
      <w:pPr>
        <w:pStyle w:val="9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2、为确保网上操作合法、有效和安全，确保在电子投标过程中能够对相关数据电文进行加密和使用电子签章，潜在供应商应当在投标截止时间前，完成电子交易平台上的CA数字证书办理。（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cs="Times New Roman" w:asciiTheme="minorEastAsia" w:hAnsiTheme="minorEastAsia" w:eastAsiaTheme="minorEastAsia"/>
          <w:color w:val="auto"/>
          <w:kern w:val="2"/>
          <w:sz w:val="24"/>
          <w:szCs w:val="24"/>
          <w:highlight w:val="none"/>
        </w:rPr>
        <w:t>CA驱动和申领流程</w:t>
      </w:r>
      <w:r>
        <w:rPr>
          <w:rFonts w:hint="eastAsia" w:cs="Times New Roman" w:asciiTheme="minorEastAsia" w:hAnsiTheme="minorEastAsia" w:eastAsiaTheme="minorEastAsia"/>
          <w:color w:val="auto"/>
          <w:kern w:val="2"/>
          <w:sz w:val="24"/>
          <w:szCs w:val="24"/>
          <w:highlight w:val="none"/>
        </w:rPr>
        <w:fldChar w:fldCharType="end"/>
      </w:r>
      <w:r>
        <w:rPr>
          <w:rFonts w:hint="eastAsia" w:cs="Times New Roman" w:asciiTheme="minorEastAsia" w:hAnsiTheme="minorEastAsia" w:eastAsiaTheme="minorEastAsia"/>
          <w:color w:val="auto"/>
          <w:kern w:val="2"/>
          <w:sz w:val="24"/>
          <w:szCs w:val="24"/>
          <w:highlight w:val="none"/>
        </w:rPr>
        <w:t>”进行查阅）。完成CA数字证书办理预计一周左右，建议各投标人抓紧时间办理。</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hint="eastAsia" w:asciiTheme="minorEastAsia" w:hAnsiTheme="minorEastAsia"/>
          <w:color w:val="auto"/>
          <w:sz w:val="24"/>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r>
        <w:rPr>
          <w:rFonts w:hint="eastAsia" w:cs="Arial" w:asciiTheme="minorEastAsia" w:hAnsiTheme="minorEastAsia" w:eastAsiaTheme="minorEastAsia"/>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w:t>
      </w:r>
    </w:p>
    <w:p>
      <w:pPr>
        <w:snapToGrid w:val="0"/>
        <w:spacing w:line="360" w:lineRule="auto"/>
        <w:ind w:firstLine="480" w:firstLineChars="200"/>
        <w:rPr>
          <w:rFonts w:eastAsiaTheme="minorEastAsia"/>
          <w:color w:val="auto"/>
          <w:highlight w:val="none"/>
        </w:rPr>
      </w:pPr>
      <w:r>
        <w:rPr>
          <w:rFonts w:hint="eastAsia" w:cs="Arial" w:asciiTheme="minorEastAsia" w:hAnsiTheme="minorEastAsia" w:eastAsiaTheme="minorEastAsia"/>
          <w:color w:val="auto"/>
          <w:sz w:val="24"/>
          <w:highlight w:val="none"/>
        </w:rPr>
        <w:t>5、通过“政府采购云平台”上传递交的“电子加密投标文件”无法按时解密，投标供应商递交了备份投标文件的，则以备份投标文件为依据，否则视为投标文件撤回。通过“政府采购云平台”上传递交的“电子加密投标文件”已按时解密的，“备份投标文件”自动失效。投标供应商仅递交备份投标文件的，其投标无效。</w:t>
      </w:r>
    </w:p>
    <w:p>
      <w:pPr>
        <w:snapToGrid w:val="0"/>
        <w:spacing w:line="360" w:lineRule="auto"/>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w:t>
      </w:r>
      <w:r>
        <w:rPr>
          <w:rFonts w:cs="Arial" w:asciiTheme="minorEastAsia" w:hAnsiTheme="minorEastAsia" w:eastAsiaTheme="minorEastAsia"/>
          <w:b/>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w:t>
      </w:r>
      <w:r>
        <w:rPr>
          <w:rFonts w:hint="eastAsia" w:cs="Arial" w:asciiTheme="minorEastAsia" w:hAnsiTheme="minorEastAsia" w:eastAsiaTheme="minorEastAsia"/>
          <w:color w:val="auto"/>
          <w:szCs w:val="21"/>
          <w:highlight w:val="none"/>
        </w:rPr>
        <w:t>国家企业信用信息公示系统（http://www.gsxt.gov.cn/index.html）</w:t>
      </w:r>
      <w:r>
        <w:rPr>
          <w:rFonts w:hint="eastAsia" w:cs="Arial" w:asciiTheme="minorEastAsia" w:hAnsiTheme="minorEastAsia" w:eastAsiaTheme="minorEastAsia"/>
          <w:color w:val="auto"/>
          <w:sz w:val="24"/>
          <w:highlight w:val="none"/>
        </w:rPr>
        <w:t>。</w:t>
      </w:r>
    </w:p>
    <w:p>
      <w:pPr>
        <w:snapToGrid w:val="0"/>
        <w:spacing w:line="360" w:lineRule="auto"/>
        <w:ind w:firstLine="480" w:firstLineChars="200"/>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招标文件使自己的权益受到损害的，可以自收到招标文件之日（获取截止日之后收到招标文件的，以获取截止日为准）起7个工作日内且应当在采购响应截止时间之前，以书面形式一次性向采购人和采购代理机构提出同一环节的质疑。否则，被质疑人可不予接受。供应商质疑应当有明确的请求和必要的证明材料；采购人及招标代理机构按《政府采购质疑和投诉办法》（中华人民共和国财政部令第94号）进行处理供应商质疑事项。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2、本项目所有公告发布网站：“浙江省政府采购网”</w:t>
      </w:r>
      <w:r>
        <w:rPr>
          <w:rFonts w:hint="eastAsia" w:cs="Arial" w:asciiTheme="minorEastAsia" w:hAnsiTheme="minorEastAsia" w:eastAsiaTheme="minorEastAsia"/>
          <w:color w:val="auto"/>
          <w:szCs w:val="21"/>
          <w:highlight w:val="none"/>
        </w:rPr>
        <w:t>（http:// www.zjzfcg.gov.cn）</w:t>
      </w:r>
      <w:r>
        <w:rPr>
          <w:rFonts w:hint="eastAsia" w:cs="Arial" w:asciiTheme="minorEastAsia" w:hAnsiTheme="minorEastAsia" w:eastAsiaTheme="minorEastAsia"/>
          <w:color w:val="auto"/>
          <w:sz w:val="24"/>
          <w:highlight w:val="none"/>
        </w:rPr>
        <w:t>和“玉环市公共资源交易中心”（ https://www.yhjyzx.com/News/zcfg/zfcg）。</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项目联系人：季先生</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联系电话：0576-87229474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 xml:space="preserve">地址：玉环市玉城街道泰安路312号财富中心5号楼1002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玉环市道路运输事务中心</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地址：玉环市珠港镇广陵路126号</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 xml:space="preserve"> </w:t>
      </w:r>
      <w:r>
        <w:rPr>
          <w:rFonts w:hint="eastAsia" w:cs="Arial" w:asciiTheme="minorEastAsia" w:hAnsiTheme="minorEastAsia" w:eastAsiaTheme="minorEastAsia"/>
          <w:color w:val="auto"/>
          <w:sz w:val="24"/>
          <w:highlight w:val="none"/>
          <w:lang w:eastAsia="zh-CN"/>
        </w:rPr>
        <w:t>林先生</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联系电话：0576-8</w:t>
      </w:r>
      <w:r>
        <w:rPr>
          <w:rFonts w:hint="eastAsia" w:cs="Arial" w:asciiTheme="minorEastAsia" w:hAnsiTheme="minorEastAsia" w:eastAsiaTheme="minorEastAsia"/>
          <w:color w:val="auto"/>
          <w:sz w:val="24"/>
          <w:highlight w:val="none"/>
          <w:lang w:val="en-US" w:eastAsia="zh-CN"/>
        </w:rPr>
        <w:t>7222621</w:t>
      </w:r>
      <w:r>
        <w:rPr>
          <w:rFonts w:hint="eastAsia" w:cs="Arial" w:asciiTheme="minorEastAsia" w:hAnsiTheme="minorEastAsia" w:eastAsiaTheme="minorEastAsia"/>
          <w:color w:val="auto"/>
          <w:sz w:val="24"/>
          <w:highlight w:val="none"/>
        </w:rPr>
        <w:t xml:space="preserve">            </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联系人：谢主任   监督投诉电话：0576-87250185   传真：0576-87250185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地址：玉环市广陵路财政局5楼</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wordWrap w:val="0"/>
        <w:autoSpaceDE w:val="0"/>
        <w:autoSpaceDN w:val="0"/>
        <w:adjustRightInd w:val="0"/>
        <w:spacing w:before="100" w:line="360" w:lineRule="auto"/>
        <w:ind w:right="23" w:firstLine="539"/>
        <w:jc w:val="right"/>
        <w:rPr>
          <w:rFonts w:ascii="宋体" w:eastAsia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 xml:space="preserve">  2020年6月</w:t>
      </w:r>
      <w:r>
        <w:rPr>
          <w:rFonts w:hint="eastAsia" w:asciiTheme="minorEastAsia" w:hAnsiTheme="minorEastAsia" w:eastAsiaTheme="minorEastAsia" w:cstheme="minorEastAsia"/>
          <w:color w:val="auto"/>
          <w:kern w:val="0"/>
          <w:sz w:val="24"/>
          <w:highlight w:val="none"/>
          <w:lang w:val="en-US" w:eastAsia="zh-CN"/>
        </w:rPr>
        <w:t>16</w:t>
      </w:r>
      <w:r>
        <w:rPr>
          <w:rFonts w:hint="eastAsia" w:asciiTheme="minorEastAsia" w:hAnsiTheme="minorEastAsia" w:eastAsiaTheme="minorEastAsia" w:cstheme="minorEastAsia"/>
          <w:color w:val="auto"/>
          <w:kern w:val="0"/>
          <w:sz w:val="24"/>
          <w:highlight w:val="none"/>
        </w:rPr>
        <w:t>日</w:t>
      </w:r>
    </w:p>
    <w:p>
      <w:pPr>
        <w:rPr>
          <w:color w:val="auto"/>
          <w:highlight w:val="none"/>
        </w:rPr>
      </w:pPr>
      <w:r>
        <w:rPr>
          <w:color w:val="auto"/>
          <w:highlight w:val="none"/>
        </w:rPr>
        <w:br w:type="page"/>
      </w:r>
    </w:p>
    <w:p>
      <w:pPr>
        <w:numPr>
          <w:ilvl w:val="0"/>
          <w:numId w:val="5"/>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    目</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供应商特定资格要求</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答疑会或</w:t>
            </w:r>
            <w:r>
              <w:rPr>
                <w:rFonts w:hint="eastAsia" w:asciiTheme="minorEastAsia" w:hAnsiTheme="minorEastAsia" w:eastAsiaTheme="minorEastAsia" w:cstheme="minorEastAsia"/>
                <w:color w:val="auto"/>
                <w:sz w:val="24"/>
                <w:highlight w:val="none"/>
              </w:rPr>
              <w:t>现场踏勘</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各供应商请自行踏勘。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投标文件组成</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投标文件由“资格证明文件”、“商务与技术文件”、“报价文件”三部分组成。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投标文件的编制</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先安装“政采云电子交易客户端”，并按照本招标文件和“政府采购云平台”的要求，通过“政采云电子交易客户端”编制并加密投标文件。（请自行前往“浙江政府采购网-下载专区-电子交易客户端”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投标文件的形式</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电子投标文件（包括“电子加密投标文件”和“备份投标文件”， 在投标文件编制完成后同时生成）；</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（1）“电子加密投标文件”是指通过“政采云电子交易客户端”完成投标文件编制后生成并加密的数据电文形式的投标文件。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（2）“备份投标文件”是指与“电子加密投标文件”同时生成的数据电文形式的电子文件，其他方式编制的备份投标文件视为无效备份投标文件。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投标文件份数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（1）“电子加密投标文件”：“政府采购云平台”线上传递交；一份。</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若有）：请于投标截止时间前递交（EMS邮寄或顺丰邮寄形式），密封包装并在包装上注明投标项目名称、投标单位名称、“备份投标文件”、“开标时启封”字样并加盖公章（邮寄地址：玉环市玉城街道泰安路312号财富中心5号楼1002  季先生收）；一份。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投标文件的上传和递交</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（1）“电子加密投标文件”的上传、递交：</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a.投标供应商应在投标截止时间前将“电子加密投标文件”成功上传递交至“政府采购云平台”，否则投标无效。</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b.“电子加密投标文件”成功上传递交后，供应商可自行打印投标文件接收回执。</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（2）“备份投标文件”的密封包装、递交：</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未密封包装或者逾期邮寄送达的“备份投标文件”将不予接收；</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通过“政府采购云平台”上传递交的“电子加密投标文件”已按时解密的，“备份投标文件”自动失效。若投标截止时间前，投标供应商仅递交了“备份投标文件”而未将“电子加密投标文件”成功上传至“政府采购云平台”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电子加密投标文件的解密和异常情况处理</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时间到，采购组织机构将向各投标供应商发出“电子加密投标文件”的解密通知，各投标供应商代表应当在接到解密通知后30分钟内自行完成“电子加密投标文件”的在线解密（供应商须登录“政府采购云平台”，使用“项目采购——开标评标”功能解密）。</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（2）通过“政府采购云平台”成功上传递交的“电子加密投标文件”无法按时解密，若投标供应商按规定递交了“备份投标文件”的，则</w:t>
            </w:r>
            <w:r>
              <w:rPr>
                <w:rFonts w:hint="eastAsia" w:ascii="宋体" w:hAnsi="宋体" w:cs="宋体"/>
                <w:bCs/>
                <w:color w:val="auto"/>
                <w:sz w:val="24"/>
                <w:highlight w:val="none"/>
              </w:rPr>
              <w:t>启用</w:t>
            </w:r>
            <w:r>
              <w:rPr>
                <w:rFonts w:hint="eastAsia" w:asciiTheme="minorEastAsia" w:hAnsiTheme="minorEastAsia" w:eastAsiaTheme="minorEastAsia" w:cstheme="minorEastAsia"/>
                <w:color w:val="auto"/>
                <w:sz w:val="24"/>
                <w:highlight w:val="none"/>
              </w:rPr>
              <w:t>“备份投标文件”（由采购组织机构按“政府采购云平台”操作规范将“备份投标文件”上传至“政府采购云平台”，上传成功后，“电子加密投标文件”自动失效），否则视为投标文件撤回。</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（3）若投标截止时间前，投标供应商仅递交了“备份投标文件”而未将“电子加密投标文件”成功上传至“政府采购云平台”的，其投标无效。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投标有效期为开标后90天，</w:t>
            </w:r>
            <w:r>
              <w:rPr>
                <w:rFonts w:hint="eastAsia" w:asciiTheme="minorEastAsia" w:hAnsiTheme="minorEastAsia" w:eastAsiaTheme="minorEastAsia" w:cstheme="min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截止时间：北京时间</w:t>
            </w:r>
            <w:r>
              <w:rPr>
                <w:rFonts w:hint="eastAsia" w:asciiTheme="minorEastAsia" w:hAnsiTheme="minorEastAsia" w:eastAsiaTheme="minorEastAsia" w:cstheme="minorEastAsia"/>
                <w:color w:val="auto"/>
                <w:sz w:val="24"/>
                <w:highlight w:val="none"/>
              </w:rPr>
              <w:t>2020年</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日09:30</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递交地点：通过“政府采购云平台（www.zcygov.cn）”实行在线投标响应。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开标时间及地点</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同投标文件递交截止时间及递交地点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本项目不设投标保证金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6140"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供应商在签订合同前须交纳本项目履约保证金为合同金额的</w:t>
            </w:r>
            <w:r>
              <w:rPr>
                <w:rFonts w:hint="eastAsia" w:asciiTheme="minorEastAsia" w:hAnsiTheme="minorEastAsia" w:eastAsiaTheme="minorEastAsia" w:cstheme="minorEastAsia"/>
                <w:color w:val="auto"/>
                <w:sz w:val="24"/>
                <w:szCs w:val="24"/>
                <w:highlight w:val="none"/>
                <w:u w:val="single"/>
              </w:rPr>
              <w:t xml:space="preserve"> 5 </w:t>
            </w:r>
            <w:r>
              <w:rPr>
                <w:rFonts w:hint="eastAsia" w:asciiTheme="minorEastAsia" w:hAnsiTheme="minorEastAsia" w:eastAsiaTheme="minorEastAsia" w:cstheme="minorEastAsia"/>
                <w:color w:val="auto"/>
                <w:sz w:val="24"/>
                <w:szCs w:val="24"/>
                <w:highlight w:val="none"/>
              </w:rPr>
              <w:t>%（履约保证金应采用银行保函保证方式）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扶持政策</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1、对符合财政扶持政策的小微企业（或监狱企业、或残疾人福利性单位）给予评标价格折扣。供应商企业属于以上多种性质的，不重复享受扶持政策。</w:t>
            </w:r>
          </w:p>
          <w:p>
            <w:pPr>
              <w:spacing w:line="360" w:lineRule="auto"/>
              <w:jc w:val="left"/>
              <w:rPr>
                <w:rFonts w:ascii="宋体" w:hAnsi="宋体" w:cs="宋体"/>
                <w:color w:val="auto"/>
                <w:sz w:val="22"/>
                <w:szCs w:val="22"/>
                <w:highlight w:val="none"/>
              </w:rPr>
            </w:pPr>
            <w:r>
              <w:rPr>
                <w:rFonts w:hint="eastAsia" w:asciiTheme="minorEastAsia" w:hAnsiTheme="minorEastAsia" w:eastAsiaTheme="minorEastAsia" w:cstheme="minorEastAsia"/>
                <w:color w:val="auto"/>
                <w:sz w:val="24"/>
                <w:highlight w:val="none"/>
              </w:rPr>
              <w:t>2、对节能、环保产品优先采购。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投标文件备案</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中标单位需在中标确认后7个工作日内，邮寄1套纸质投标文件至招标代理机构。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实质性条款</w:t>
            </w:r>
          </w:p>
        </w:tc>
        <w:tc>
          <w:tcPr>
            <w:tcW w:w="61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带“</w:t>
            </w:r>
            <w:r>
              <w:rPr>
                <w:rFonts w:hint="eastAsia" w:asciiTheme="minorEastAsia" w:hAnsiTheme="minorEastAsia" w:eastAsiaTheme="minorEastAsia" w:cstheme="minorEastAsia"/>
                <w:bCs/>
                <w:color w:val="auto"/>
                <w:sz w:val="24"/>
                <w:highlight w:val="none"/>
              </w:rPr>
              <w:t>▲”的条款是实质性条款，投标文件须作出实质性响</w:t>
            </w:r>
            <w:r>
              <w:rPr>
                <w:rFonts w:hint="eastAsia" w:asciiTheme="minorEastAsia" w:hAnsiTheme="minorEastAsia" w:eastAsiaTheme="minorEastAsia" w:cstheme="min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解释权</w:t>
            </w:r>
          </w:p>
        </w:tc>
        <w:tc>
          <w:tcPr>
            <w:tcW w:w="61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本招标文件解释权属于采购人和采购代理机构。</w:t>
            </w:r>
          </w:p>
        </w:tc>
      </w:tr>
    </w:tbl>
    <w:p>
      <w:pPr>
        <w:pStyle w:val="11"/>
        <w:snapToGrid w:val="0"/>
        <w:spacing w:before="120" w:after="120" w:line="360" w:lineRule="auto"/>
        <w:rPr>
          <w:rFonts w:asciiTheme="minorEastAsia" w:hAnsiTheme="minorEastAsia" w:eastAsiaTheme="minorEastAsia"/>
          <w:b/>
          <w:color w:val="auto"/>
          <w:sz w:val="24"/>
          <w:highlight w:val="none"/>
        </w:rPr>
      </w:pPr>
    </w:p>
    <w:p>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（即投标供应商）：是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5"/>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投标文件由“资格证明文件”、“商务与技术文件”、“报价文件”三部分组成。</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提供采购公告中符合供应商特定条件的有效相关证书复印件（投标供应商特定条件中有要求的必须提供）（若有），以及评标时需要说明的其他资料。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（1）报价文件由开标一览表、报价明细表、小微企业等声明函（若有）、产品适用政府采购政策情况表（若有）以及投标人认为其他需要说明的内容组成。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numPr>
          <w:ilvl w:val="0"/>
          <w:numId w:val="7"/>
        </w:numPr>
        <w:spacing w:line="360" w:lineRule="auto"/>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本项目通过“政府采购云平台（www.zcygov.cn）”实行在线投标响应（电子招投标），供应商应先安装“政采云电子交易客户端”，并按照本项目招标文件和“政府采购云平台”的要求编制、加密并递交投标文件。</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投标人</w:t>
      </w:r>
      <w:r>
        <w:rPr>
          <w:rFonts w:hint="eastAsia" w:ascii="宋体" w:hAnsi="宋体"/>
          <w:color w:val="auto"/>
          <w:sz w:val="24"/>
          <w:highlight w:val="none"/>
        </w:rPr>
        <w:t>应当按照“投标文件的组成”规定的内容及顺序在“政采云电子交易客户端”编制投标文件。其中“资格证明文件”和“商务与技术文件”中不得出现投标报价，如因投标人原因提前泄露投标报价的，</w:t>
      </w:r>
      <w:r>
        <w:rPr>
          <w:rFonts w:hint="eastAsia" w:asciiTheme="minorEastAsia" w:hAnsiTheme="minorEastAsia" w:eastAsiaTheme="minorEastAsia"/>
          <w:color w:val="auto"/>
          <w:sz w:val="24"/>
          <w:highlight w:val="none"/>
        </w:rPr>
        <w:t>责任</w:t>
      </w:r>
      <w:r>
        <w:rPr>
          <w:rFonts w:asciiTheme="minorEastAsia" w:hAnsiTheme="minorEastAsia" w:eastAsiaTheme="minorEastAsia"/>
          <w:color w:val="auto"/>
          <w:sz w:val="24"/>
          <w:highlight w:val="none"/>
        </w:rPr>
        <w:t>由投标人承担。</w:t>
      </w:r>
    </w:p>
    <w:p>
      <w:pPr>
        <w:autoSpaceDE w:val="0"/>
        <w:autoSpaceDN w:val="0"/>
        <w:adjustRightInd w:val="0"/>
        <w:spacing w:line="360" w:lineRule="auto"/>
        <w:ind w:firstLine="480"/>
        <w:rPr>
          <w:color w:val="auto"/>
          <w:highlight w:val="none"/>
        </w:rPr>
      </w:pPr>
      <w:r>
        <w:rPr>
          <w:rFonts w:hint="eastAsia" w:asciiTheme="minorEastAsia" w:hAnsiTheme="minorEastAsia"/>
          <w:color w:val="auto"/>
          <w:kern w:val="0"/>
          <w:sz w:val="24"/>
          <w:highlight w:val="none"/>
        </w:rPr>
        <w:t>（3）招标文件中有提供格式的，投标人应参照格式进行编制</w:t>
      </w:r>
      <w:r>
        <w:rPr>
          <w:rFonts w:hint="eastAsia" w:asciiTheme="minorEastAsia" w:hAnsiTheme="minorEastAsia"/>
          <w:b/>
          <w:bCs/>
          <w:color w:val="auto"/>
          <w:kern w:val="0"/>
          <w:sz w:val="24"/>
          <w:highlight w:val="none"/>
        </w:rPr>
        <w:t>（格式中要求提供相关证明材料的应后附相关证明材料）</w:t>
      </w:r>
      <w:r>
        <w:rPr>
          <w:rFonts w:hint="eastAsia" w:asciiTheme="minorEastAsia" w:hAnsiTheme="minorEastAsia"/>
          <w:color w:val="auto"/>
          <w:kern w:val="0"/>
          <w:sz w:val="24"/>
          <w:highlight w:val="none"/>
        </w:rPr>
        <w:t>，并按要求在指定位置进行签章，否则视为未提供；招标文件中未提供格式的，请各投标人自行拟定格式，加盖单位公章并由法定代表人或其授权代表签署（签字或盖章），否则视为未提供</w:t>
      </w:r>
      <w:r>
        <w:rPr>
          <w:rFonts w:hint="eastAsia" w:asciiTheme="minorEastAsia" w:hAnsiTheme="minorEastAsia" w:eastAsiaTheme="minorEastAsia"/>
          <w:color w:val="auto"/>
          <w:sz w:val="24"/>
          <w:highlight w:val="none"/>
        </w:rPr>
        <w:t>。</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4</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投标文件内容不完整、编排混乱导致投标文件被误读、漏读或者查找不到相关内容的，是投标人的责任。</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（5）投标文件因字迹潦草或表达不清所引起的后果由投标人负责。</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（6）投标人未按照“投标文件组成”要求提供全部资料，或者没有仔细阅读招标文件，或者没有对招标文件在各方面的要求作出实质性响应，由此造成的一切后果由投标人自行承担。</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7</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（8）投标计量单位，招标文件已有明确规定的，使用招标文件规定的计量单位；招标文件没有规定的，应采用中华人民共和国法定计量单位（货币单位：人民币元）。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2、投标文件的签章</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（1）投标文件的签章：见《前附表》；</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（2）投标文件应由投标供应商法定代表人或其授权代表签字（或盖章），并时加盖投标供应商公章。</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电子签章操作指南详见《供应商项目采购-电子招投标操作指南》。</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3、投标文件的形式</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（1）投标文件的形式：见《前附表》；</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（2）“电子加密投标文件”是指通过“政采云电子交易客户端”完成投标文件编制后生成并加密的数据电文形式的投标文件。</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（3）“备份投标文件”是指与“电子加密投标文件”同时生成的数据电文形式的电子文件，其他方式编制的备份投标文件视为无效备份投标文件。</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4、投标文件份数</w:t>
      </w:r>
      <w:r>
        <w:rPr>
          <w:rFonts w:hint="eastAsia" w:asciiTheme="minorEastAsia" w:hAnsiTheme="minorEastAsia"/>
          <w:b/>
          <w:bCs/>
          <w:color w:val="auto"/>
          <w:sz w:val="24"/>
          <w:highlight w:val="none"/>
        </w:rPr>
        <w:tab/>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（1）投标文件份数：详见《前附表》。</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7"/>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7"/>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pStyle w:val="7"/>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中标人的投标文件自开标之日起至合同履行完毕均应保持有效。</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1、投标文件的上传和递交：见《前附表》</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2、“电子加密投标文件”解密和异常情况处理：见《前附表》</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3、投标文件的补充、修改或撤回</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（2）投标截止时间后，投标供应商不得撤回、修改投标文件。</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4、投标文件的备选方案</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（1）投标供应商不得递交任何的投标备选（替代）方案，否则其投标文件将作无效标处理。与“电子加密投标文件”同时生成的“备份投标文件”不是投标备选（替代）方案。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（一）开标形式</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采购组织机构将按照“招标公告”规定的时间通过“政府采购云平台”组织开标活动、开启投标文件，所有供应商均应当准时在线参加。</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color w:val="auto"/>
          <w:kern w:val="0"/>
          <w:sz w:val="24"/>
          <w:highlight w:val="none"/>
        </w:rPr>
        <w:t>）开标准备：</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bCs/>
          <w:color w:val="auto"/>
          <w:sz w:val="24"/>
          <w:highlight w:val="none"/>
        </w:rPr>
        <w:t>开标的准备工作由采购组织机构负责落实；</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r>
        <w:rPr>
          <w:rFonts w:hint="eastAsia" w:asciiTheme="minorEastAsia" w:hAnsiTheme="minorEastAsia"/>
          <w:color w:val="auto"/>
          <w:sz w:val="24"/>
          <w:highlight w:val="none"/>
        </w:rPr>
        <w:t>、</w:t>
      </w:r>
      <w:r>
        <w:rPr>
          <w:rFonts w:hint="eastAsia" w:asciiTheme="minorEastAsia" w:hAnsiTheme="minorEastAsia" w:eastAsiaTheme="minorEastAsia"/>
          <w:bCs/>
          <w:color w:val="auto"/>
          <w:sz w:val="24"/>
          <w:highlight w:val="none"/>
        </w:rPr>
        <w:t>采购组织机构将按照招标文件规定的时间通过“政府采购云平台”组织开标活动、开启投标文件，所有供应商均应当准时在线参加。投标人</w:t>
      </w:r>
      <w:r>
        <w:rPr>
          <w:rFonts w:asciiTheme="minorEastAsia" w:hAnsiTheme="minorEastAsia" w:eastAsiaTheme="minorEastAsia"/>
          <w:bCs/>
          <w:color w:val="auto"/>
          <w:sz w:val="24"/>
          <w:highlight w:val="none"/>
        </w:rPr>
        <w:t>如不</w:t>
      </w:r>
      <w:r>
        <w:rPr>
          <w:rFonts w:hint="eastAsia" w:asciiTheme="minorEastAsia" w:hAnsiTheme="minorEastAsia" w:eastAsiaTheme="minorEastAsia"/>
          <w:bCs/>
          <w:color w:val="auto"/>
          <w:sz w:val="24"/>
          <w:highlight w:val="none"/>
        </w:rPr>
        <w:t>参加</w:t>
      </w:r>
      <w:r>
        <w:rPr>
          <w:rFonts w:asciiTheme="minorEastAsia" w:hAnsiTheme="minorEastAsia" w:eastAsiaTheme="minorEastAsia"/>
          <w:bCs/>
          <w:color w:val="auto"/>
          <w:sz w:val="24"/>
          <w:highlight w:val="none"/>
        </w:rPr>
        <w:t>开标大会的，</w:t>
      </w:r>
      <w:r>
        <w:rPr>
          <w:rFonts w:hint="eastAsia" w:asciiTheme="minorEastAsia" w:hAnsiTheme="minorEastAsia" w:eastAsiaTheme="minorEastAsia"/>
          <w:bCs/>
          <w:color w:val="auto"/>
          <w:sz w:val="24"/>
          <w:highlight w:val="none"/>
        </w:rPr>
        <w:t>视同认可开标结果，</w:t>
      </w:r>
      <w:r>
        <w:rPr>
          <w:rFonts w:asciiTheme="minorEastAsia" w:hAnsiTheme="minorEastAsia" w:eastAsiaTheme="minorEastAsia"/>
          <w:bCs/>
          <w:color w:val="auto"/>
          <w:sz w:val="24"/>
          <w:highlight w:val="none"/>
        </w:rPr>
        <w:t>事后不得对采购相关人员、开标过程和开标结果提出异议</w:t>
      </w:r>
      <w:r>
        <w:rPr>
          <w:rFonts w:hint="eastAsia" w:asciiTheme="minorEastAsia" w:hAnsiTheme="minorEastAsia" w:eastAsiaTheme="minorEastAsia"/>
          <w:bCs/>
          <w:color w:val="auto"/>
          <w:sz w:val="24"/>
          <w:highlight w:val="none"/>
        </w:rPr>
        <w:t>，同时投标人因未在线参加开标而导致投标文件无法按时解密等一切后果由投标人自己承担。</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三</w:t>
      </w:r>
      <w:r>
        <w:rPr>
          <w:rFonts w:asciiTheme="minorEastAsia" w:hAnsiTheme="minorEastAsia" w:eastAsiaTheme="minorEastAsia"/>
          <w:bCs/>
          <w:color w:val="auto"/>
          <w:sz w:val="24"/>
          <w:highlight w:val="none"/>
        </w:rPr>
        <w:t>）开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1"/>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开标第一阶段</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2、投标文件解密结束，通过邮件形式发送各投标人组织签署《政府采购活动现场确认声明书》；</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3、开启投标文件，进入资格审查；</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4、开启资格审查通过的投标人的商务技术文件进入符合性审查、商务技术评审；</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5、平台功能现场演示，演示时间40分钟以内；评委根据演示效果情况评分。</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6、第一阶段开标结束。</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备注：开标大会的第一阶段结束后，采购人或采购代理机构将对依法对投标人的资格进行审查，资格审查结束后进入符合性审查和商务技术的评审工作。</w:t>
      </w:r>
    </w:p>
    <w:p>
      <w:pPr>
        <w:pStyle w:val="11"/>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开标大会第二阶段</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1、符合性审查、商务技术评审结束后，举行开标大会第二阶段会议。首先通过发送邮件形式公布符合性审查、商务技术评审无效供应商名称及理由</w:t>
      </w:r>
      <w:r>
        <w:rPr>
          <w:rFonts w:asciiTheme="minorEastAsia" w:hAnsiTheme="minorEastAsia" w:eastAsiaTheme="minorEastAsia"/>
          <w:color w:val="auto"/>
          <w:sz w:val="24"/>
          <w:highlight w:val="none"/>
        </w:rPr>
        <w:t>；公布经商务技术评审</w:t>
      </w:r>
      <w:r>
        <w:rPr>
          <w:rFonts w:hint="eastAsia" w:asciiTheme="minorEastAsia" w:hAnsiTheme="minorEastAsia" w:eastAsiaTheme="minorEastAsia"/>
          <w:color w:val="auto"/>
          <w:sz w:val="24"/>
          <w:highlight w:val="none"/>
        </w:rPr>
        <w:t>后有效投标</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名单，同时公布</w:t>
      </w:r>
      <w:r>
        <w:rPr>
          <w:rFonts w:hint="eastAsia" w:asciiTheme="minorEastAsia" w:hAnsiTheme="minorEastAsia" w:eastAsiaTheme="minorEastAsia"/>
          <w:color w:val="auto"/>
          <w:sz w:val="24"/>
          <w:highlight w:val="none"/>
        </w:rPr>
        <w:t>其</w:t>
      </w:r>
      <w:r>
        <w:rPr>
          <w:rFonts w:asciiTheme="minorEastAsia" w:hAnsiTheme="minorEastAsia" w:eastAsiaTheme="minorEastAsia"/>
          <w:color w:val="auto"/>
          <w:sz w:val="24"/>
          <w:highlight w:val="none"/>
        </w:rPr>
        <w:t>商务技术</w:t>
      </w:r>
      <w:r>
        <w:rPr>
          <w:rFonts w:hint="eastAsia" w:asciiTheme="minorEastAsia" w:hAnsiTheme="minorEastAsia" w:eastAsiaTheme="minorEastAsia"/>
          <w:color w:val="auto"/>
          <w:sz w:val="24"/>
          <w:highlight w:val="none"/>
        </w:rPr>
        <w:t>部分</w:t>
      </w:r>
      <w:r>
        <w:rPr>
          <w:rFonts w:asciiTheme="minorEastAsia" w:hAnsiTheme="minorEastAsia" w:eastAsiaTheme="minorEastAsia"/>
          <w:color w:val="auto"/>
          <w:sz w:val="24"/>
          <w:highlight w:val="none"/>
        </w:rPr>
        <w:t>得分情况</w:t>
      </w:r>
      <w:r>
        <w:rPr>
          <w:rFonts w:hint="eastAsia" w:asciiTheme="minorEastAsia" w:hAnsiTheme="minorEastAsia" w:eastAsiaTheme="minorEastAsia"/>
          <w:color w:val="auto"/>
          <w:sz w:val="24"/>
          <w:highlight w:val="none"/>
        </w:rPr>
        <w:t>。</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2、开启符合性审查、商务技术评审有效投标供应商的报价文件，通过发送邮件形式公布开标一览表有关内容，同时当场制作开标记录表，投标人通过发送邮件形式</w:t>
      </w:r>
      <w:r>
        <w:rPr>
          <w:rFonts w:asciiTheme="minorEastAsia" w:hAnsiTheme="minorEastAsia" w:eastAsiaTheme="minorEastAsia"/>
          <w:color w:val="auto"/>
          <w:sz w:val="24"/>
          <w:highlight w:val="none"/>
        </w:rPr>
        <w:t>签字确认（不予确认的应说明理由，否则视为无异议）。唱标结束后，由评标委员会对报价的合理性、准确性等进行审查核实</w:t>
      </w:r>
      <w:r>
        <w:rPr>
          <w:rFonts w:hint="eastAsia" w:asciiTheme="minorEastAsia" w:hAnsiTheme="minorEastAsia" w:eastAsiaTheme="minorEastAsia"/>
          <w:color w:val="auto"/>
          <w:sz w:val="24"/>
          <w:highlight w:val="none"/>
        </w:rPr>
        <w:t>。</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3、评审结束后，通过发送邮件形式公布中标（成交）候选供应商名单，及采购人最终确定中标或成交供应商名单的时间和公告方式等。</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4、完成评标后，开标会议结束。</w:t>
      </w:r>
    </w:p>
    <w:p>
      <w:pPr>
        <w:pStyle w:val="11"/>
        <w:snapToGrid w:val="0"/>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特别说明：</w:t>
      </w:r>
      <w:r>
        <w:rPr>
          <w:rFonts w:hint="eastAsia" w:asciiTheme="minorEastAsia" w:hAnsiTheme="minorEastAsia" w:eastAsiaTheme="minorEastAsia"/>
          <w:color w:val="auto"/>
          <w:sz w:val="24"/>
          <w:highlight w:val="none"/>
        </w:rPr>
        <w:t>如遇“政府采购云平台”电子化开标或评审程序调整的，按调整后执行。</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1"/>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w:t>
      </w:r>
      <w:r>
        <w:rPr>
          <w:rFonts w:hint="eastAsia" w:asciiTheme="minorEastAsia" w:hAnsiTheme="minorEastAsia" w:eastAsiaTheme="minorEastAsia"/>
          <w:color w:val="auto"/>
          <w:kern w:val="0"/>
          <w:sz w:val="24"/>
          <w:highlight w:val="none"/>
        </w:rPr>
        <w:t>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11"/>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6"/>
        <w:spacing w:before="0" w:beforeAutospacing="0" w:after="0" w:afterAutospacing="0" w:line="360" w:lineRule="auto"/>
        <w:ind w:firstLine="424" w:firstLineChars="177"/>
        <w:jc w:val="both"/>
        <w:rPr>
          <w:rFonts w:hint="default"/>
          <w:color w:val="auto"/>
          <w:highlight w:val="none"/>
        </w:rPr>
      </w:pPr>
      <w:r>
        <w:rPr>
          <w:color w:val="auto"/>
          <w:highlight w:val="none"/>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（二）合同公告及备案</w:t>
      </w:r>
    </w:p>
    <w:p>
      <w:pPr>
        <w:pStyle w:val="10"/>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10"/>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45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rPr>
        <w:t>按中标价的1.5%计取</w:t>
      </w:r>
      <w:r>
        <w:rPr>
          <w:rFonts w:hint="eastAsia" w:ascii="宋体" w:hAnsi="宋体"/>
          <w:color w:val="auto"/>
          <w:sz w:val="24"/>
          <w:highlight w:val="none"/>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olor w:val="auto"/>
          <w:sz w:val="24"/>
          <w:highlight w:val="none"/>
        </w:rPr>
        <w:t>招标代理服务费</w:t>
      </w:r>
      <w:r>
        <w:rPr>
          <w:rFonts w:hint="eastAsia" w:ascii="宋体" w:hAnsi="宋体" w:cs="Arial"/>
          <w:color w:val="auto"/>
          <w:sz w:val="24"/>
          <w:highlight w:val="none"/>
        </w:rPr>
        <w:t>）</w:t>
      </w:r>
      <w:r>
        <w:rPr>
          <w:rFonts w:hint="eastAsia" w:ascii="宋体" w:hAnsi="宋体"/>
          <w:color w:val="auto"/>
          <w:sz w:val="24"/>
          <w:highlight w:val="none"/>
        </w:rPr>
        <w:t>汇入以下账户：</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420" w:lineRule="exact"/>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5"/>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adjustRightInd w:val="0"/>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本项目采用综合评分法</w:t>
      </w:r>
      <w:r>
        <w:rPr>
          <w:rFonts w:hint="eastAsia" w:ascii="宋体" w:hAnsi="宋体"/>
          <w:color w:val="auto"/>
          <w:sz w:val="24"/>
          <w:highlight w:val="none"/>
        </w:rPr>
        <w:t>，评标委员会将对各投标人的投标报价、</w:t>
      </w:r>
      <w:r>
        <w:rPr>
          <w:rFonts w:hint="eastAsia" w:ascii="宋体" w:hAnsi="宋体"/>
          <w:bCs/>
          <w:color w:val="auto"/>
          <w:sz w:val="24"/>
          <w:highlight w:val="none"/>
        </w:rPr>
        <w:t>技术和服务方案</w:t>
      </w:r>
      <w:r>
        <w:rPr>
          <w:rFonts w:hint="eastAsia" w:ascii="宋体" w:hAnsi="宋体"/>
          <w:color w:val="auto"/>
          <w:sz w:val="24"/>
          <w:highlight w:val="none"/>
        </w:rPr>
        <w:t xml:space="preserve">、投标人的企业实力及资质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 </w:t>
      </w:r>
    </w:p>
    <w:p>
      <w:pPr>
        <w:autoSpaceDE w:val="0"/>
        <w:autoSpaceDN w:val="0"/>
        <w:adjustRightInd w:val="0"/>
        <w:spacing w:line="500" w:lineRule="exact"/>
        <w:ind w:firstLine="480" w:firstLineChars="200"/>
        <w:rPr>
          <w:rFonts w:ascii="宋体" w:hAnsi="宋体"/>
          <w:color w:val="auto"/>
          <w:sz w:val="24"/>
          <w:highlight w:val="none"/>
          <w:lang w:val="zh-CN"/>
        </w:rPr>
      </w:pPr>
      <w:r>
        <w:rPr>
          <w:rFonts w:hint="eastAsia" w:ascii="宋体" w:hAnsi="宋体"/>
          <w:color w:val="auto"/>
          <w:sz w:val="24"/>
          <w:highlight w:val="none"/>
        </w:rPr>
        <w:t>各投标人的综合得分为：投标报价得分＋商务与技术得分之和，总分为100分，其中：投标价格20分，商务与技术80分。各投标人的商务与技术得分由评标委员会独立打分，计算方法为：</w:t>
      </w:r>
      <w:r>
        <w:rPr>
          <w:rFonts w:hint="eastAsia" w:ascii="宋体" w:hAnsi="宋体"/>
          <w:color w:val="auto"/>
          <w:sz w:val="24"/>
          <w:highlight w:val="none"/>
          <w:lang w:val="zh-CN"/>
        </w:rPr>
        <w:t>评标委员会成员评分去除最高、最低分后的各成员评分的算术平均值。</w:t>
      </w:r>
    </w:p>
    <w:p>
      <w:pPr>
        <w:autoSpaceDE w:val="0"/>
        <w:autoSpaceDN w:val="0"/>
        <w:adjustRightInd w:val="0"/>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（一）报价分（20分）</w:t>
      </w:r>
    </w:p>
    <w:p>
      <w:pPr>
        <w:autoSpaceDE w:val="0"/>
        <w:autoSpaceDN w:val="0"/>
        <w:adjustRightIn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各投标人的投标价格得分按投标价格评分公式由代理单位计算，评标委员会审核。根据上述评标原则，分值安排如下：</w:t>
      </w:r>
    </w:p>
    <w:p>
      <w:pPr>
        <w:autoSpaceDE w:val="0"/>
        <w:autoSpaceDN w:val="0"/>
        <w:adjustRightInd w:val="0"/>
        <w:spacing w:line="50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报价的合理性：</w:t>
      </w:r>
    </w:p>
    <w:p>
      <w:pPr>
        <w:autoSpaceDE w:val="0"/>
        <w:autoSpaceDN w:val="0"/>
        <w:adjustRightInd w:val="0"/>
        <w:spacing w:line="50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分析总报价及各个分项报价是否合理，报价范围是否完整，有否重大错漏项，评标委员会认为投标报价出现异常时，有权要求投标人在评标期间对投标报价的详细组成和投标设备的供应渠道等事项作出解释和澄清，并确认其投标报价是否有效。</w:t>
      </w:r>
    </w:p>
    <w:p>
      <w:pPr>
        <w:autoSpaceDE w:val="0"/>
        <w:autoSpaceDN w:val="0"/>
        <w:adjustRightInd w:val="0"/>
        <w:spacing w:line="500" w:lineRule="exact"/>
        <w:ind w:firstLine="482" w:firstLineChars="200"/>
        <w:rPr>
          <w:rFonts w:ascii="宋体" w:hAnsi="宋体"/>
          <w:b/>
          <w:bCs/>
          <w:color w:val="auto"/>
          <w:sz w:val="24"/>
          <w:highlight w:val="none"/>
          <w:lang w:val="zh-CN"/>
        </w:rPr>
      </w:pPr>
      <w:r>
        <w:rPr>
          <w:rFonts w:hint="eastAsia" w:ascii="宋体" w:hAnsi="宋体"/>
          <w:b/>
          <w:bCs/>
          <w:color w:val="auto"/>
          <w:sz w:val="24"/>
          <w:highlight w:val="none"/>
          <w:lang w:val="zh-CN"/>
        </w:rPr>
        <w:t>报价分计算方法：</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投标报价得分=(评标基准价／投标报价)×20%×100 。</w:t>
      </w:r>
    </w:p>
    <w:p>
      <w:pPr>
        <w:pStyle w:val="3"/>
        <w:rPr>
          <w:color w:val="auto"/>
          <w:highlight w:val="none"/>
        </w:rPr>
      </w:pPr>
    </w:p>
    <w:p>
      <w:pPr>
        <w:pStyle w:val="2"/>
        <w:spacing w:line="500" w:lineRule="exact"/>
        <w:ind w:firstLine="480" w:firstLineChars="200"/>
        <w:rPr>
          <w:color w:val="auto"/>
          <w:highlight w:val="none"/>
          <w:lang w:val="zh-CN"/>
        </w:rPr>
      </w:pPr>
      <w:r>
        <w:rPr>
          <w:rFonts w:hint="eastAsia"/>
          <w:color w:val="auto"/>
          <w:highlight w:val="none"/>
          <w:lang w:val="zh-CN"/>
        </w:rPr>
        <w:t>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pStyle w:val="2"/>
        <w:spacing w:line="500" w:lineRule="exact"/>
        <w:ind w:firstLine="480" w:firstLineChars="200"/>
        <w:rPr>
          <w:color w:val="auto"/>
          <w:highlight w:val="none"/>
          <w:lang w:val="zh-CN"/>
        </w:rPr>
      </w:pPr>
      <w:r>
        <w:rPr>
          <w:rFonts w:hint="eastAsia"/>
          <w:color w:val="auto"/>
          <w:highlight w:val="none"/>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pPr>
        <w:snapToGrid w:val="0"/>
        <w:spacing w:line="500" w:lineRule="exact"/>
        <w:ind w:firstLine="480"/>
        <w:rPr>
          <w:rFonts w:hAnsi="宋体"/>
          <w:b/>
          <w:bCs/>
          <w:color w:val="auto"/>
          <w:sz w:val="24"/>
          <w:highlight w:val="none"/>
        </w:rPr>
      </w:pPr>
      <w:r>
        <w:rPr>
          <w:rFonts w:hint="eastAsia" w:ascii="宋体"/>
          <w:b/>
          <w:bCs/>
          <w:color w:val="auto"/>
          <w:sz w:val="24"/>
          <w:highlight w:val="none"/>
          <w:lang w:val="zh-CN"/>
        </w:rPr>
        <w:t>注：报价得分以系统计算为准，保留2位小数</w:t>
      </w:r>
      <w:r>
        <w:rPr>
          <w:rFonts w:hint="eastAsia" w:ascii="宋体" w:hAnsi="宋体"/>
          <w:b/>
          <w:bCs/>
          <w:color w:val="auto"/>
          <w:sz w:val="24"/>
          <w:highlight w:val="none"/>
          <w:lang w:val="zh-CN"/>
        </w:rPr>
        <w:t>，由代理单位当场统一计算</w:t>
      </w:r>
      <w:r>
        <w:rPr>
          <w:rFonts w:hint="eastAsia" w:ascii="宋体"/>
          <w:b/>
          <w:bCs/>
          <w:color w:val="auto"/>
          <w:sz w:val="24"/>
          <w:highlight w:val="none"/>
          <w:lang w:val="zh-CN"/>
        </w:rPr>
        <w:t>。</w:t>
      </w:r>
    </w:p>
    <w:p>
      <w:pPr>
        <w:spacing w:line="500" w:lineRule="exact"/>
        <w:ind w:firstLine="482" w:firstLineChars="200"/>
        <w:rPr>
          <w:rFonts w:ascii="宋体" w:hAnsi="宋体"/>
          <w:b/>
          <w:color w:val="auto"/>
          <w:sz w:val="24"/>
          <w:highlight w:val="none"/>
        </w:rPr>
      </w:pPr>
      <w:r>
        <w:rPr>
          <w:rFonts w:hint="eastAsia" w:ascii="宋体" w:hAnsi="宋体"/>
          <w:b/>
          <w:bCs/>
          <w:color w:val="auto"/>
          <w:sz w:val="24"/>
          <w:highlight w:val="none"/>
        </w:rPr>
        <w:t>（二）商务与技术</w:t>
      </w:r>
      <w:r>
        <w:rPr>
          <w:rFonts w:hint="eastAsia" w:ascii="宋体" w:hAnsi="宋体"/>
          <w:b/>
          <w:color w:val="auto"/>
          <w:sz w:val="24"/>
          <w:highlight w:val="none"/>
        </w:rPr>
        <w:t>分（80分）</w:t>
      </w:r>
    </w:p>
    <w:p>
      <w:pPr>
        <w:spacing w:line="500" w:lineRule="exact"/>
        <w:ind w:firstLine="480" w:firstLineChars="200"/>
        <w:rPr>
          <w:rFonts w:hAnsi="宋体"/>
          <w:color w:val="auto"/>
          <w:sz w:val="24"/>
          <w:highlight w:val="none"/>
          <w:lang w:val="zh-CN"/>
        </w:rPr>
      </w:pPr>
      <w:r>
        <w:rPr>
          <w:rFonts w:hint="eastAsia" w:hAnsi="宋体"/>
          <w:color w:val="auto"/>
          <w:sz w:val="24"/>
          <w:highlight w:val="none"/>
          <w:lang w:val="zh-CN"/>
        </w:rPr>
        <w:t>评标委员会对通过符合性审查的投标人的投标技术参数或方案、现场演示情况充分审核后，进行综合评定独立打分。商务与技术标的评分标准详见下文</w:t>
      </w:r>
      <w:r>
        <w:rPr>
          <w:rFonts w:hint="eastAsia" w:hAnsi="宋体"/>
          <w:color w:val="auto"/>
          <w:sz w:val="24"/>
          <w:highlight w:val="none"/>
        </w:rPr>
        <w:t>。</w:t>
      </w:r>
    </w:p>
    <w:p>
      <w:pPr>
        <w:spacing w:line="500" w:lineRule="exact"/>
        <w:ind w:right="480" w:firstLine="482" w:firstLineChars="200"/>
        <w:rPr>
          <w:rFonts w:ascii="宋体" w:hAnsi="宋体"/>
          <w:b/>
          <w:bCs/>
          <w:color w:val="auto"/>
          <w:sz w:val="24"/>
          <w:highlight w:val="none"/>
        </w:rPr>
      </w:pPr>
      <w:r>
        <w:rPr>
          <w:rFonts w:hint="eastAsia" w:ascii="宋体" w:hAnsi="宋体"/>
          <w:b/>
          <w:bCs/>
          <w:color w:val="auto"/>
          <w:sz w:val="24"/>
          <w:highlight w:val="none"/>
        </w:rPr>
        <w:t>商务与技术分的计算方式：</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商务与技术分按照评标委员会成员的独立评分结果汇总后，取全部评标委员会成员评分值的算术平均分，计算公式为：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商务与技术分=评标委员会所有成员评分合计数/评标委员会组成人员数</w:t>
      </w:r>
    </w:p>
    <w:p>
      <w:pPr>
        <w:spacing w:line="500" w:lineRule="exact"/>
        <w:ind w:firstLine="480" w:firstLineChars="200"/>
        <w:rPr>
          <w:rFonts w:ascii="宋体"/>
          <w:color w:val="auto"/>
          <w:sz w:val="24"/>
          <w:highlight w:val="none"/>
          <w:lang w:val="zh-CN"/>
        </w:rPr>
      </w:pPr>
      <w:r>
        <w:rPr>
          <w:rFonts w:hint="eastAsia" w:ascii="宋体"/>
          <w:color w:val="auto"/>
          <w:sz w:val="24"/>
          <w:highlight w:val="none"/>
          <w:lang w:val="zh-CN"/>
        </w:rPr>
        <w:t>注：报价得分以系统计算为准，保留2位小数</w:t>
      </w:r>
      <w:r>
        <w:rPr>
          <w:rFonts w:hint="eastAsia" w:ascii="宋体" w:hAnsi="宋体"/>
          <w:color w:val="auto"/>
          <w:sz w:val="24"/>
          <w:highlight w:val="none"/>
          <w:lang w:val="zh-CN"/>
        </w:rPr>
        <w:t>，由代理单位当场统一计算</w:t>
      </w:r>
      <w:r>
        <w:rPr>
          <w:rFonts w:hint="eastAsia" w:ascii="宋体"/>
          <w:color w:val="auto"/>
          <w:sz w:val="24"/>
          <w:highlight w:val="none"/>
          <w:lang w:val="zh-CN"/>
        </w:rPr>
        <w:t>。</w:t>
      </w:r>
    </w:p>
    <w:p>
      <w:pPr>
        <w:pStyle w:val="3"/>
        <w:rPr>
          <w:color w:val="auto"/>
          <w:highlight w:val="none"/>
          <w:lang w:val="zh-CN"/>
        </w:rPr>
      </w:pPr>
    </w:p>
    <w:p>
      <w:pPr>
        <w:pStyle w:val="11"/>
        <w:spacing w:line="312" w:lineRule="auto"/>
        <w:ind w:firstLine="480" w:firstLineChars="200"/>
        <w:rPr>
          <w:rFonts w:hAnsi="宋体"/>
          <w:color w:val="auto"/>
          <w:sz w:val="24"/>
          <w:highlight w:val="none"/>
        </w:rPr>
      </w:pPr>
      <w:bookmarkStart w:id="0" w:name="_Toc274303257"/>
      <w:r>
        <w:rPr>
          <w:rFonts w:hint="eastAsia" w:hAnsi="宋体"/>
          <w:color w:val="auto"/>
          <w:sz w:val="24"/>
          <w:highlight w:val="none"/>
        </w:rPr>
        <w:t>根据《中华人民共和国政府采购法》及相关法律的有关规定，为更好地做到公开、公平、公正，结合本次招标的特点，特制定本评标办法，本项目的评标办法为综合评分法</w:t>
      </w:r>
      <w:bookmarkEnd w:id="0"/>
      <w:r>
        <w:rPr>
          <w:rFonts w:hint="eastAsia" w:hAnsi="宋体"/>
          <w:color w:val="auto"/>
          <w:sz w:val="24"/>
          <w:highlight w:val="none"/>
        </w:rPr>
        <w:t>。</w:t>
      </w:r>
    </w:p>
    <w:p>
      <w:pPr>
        <w:pStyle w:val="11"/>
        <w:spacing w:line="312" w:lineRule="auto"/>
        <w:ind w:firstLine="480" w:firstLineChars="200"/>
        <w:rPr>
          <w:rFonts w:hAnsi="宋体"/>
          <w:color w:val="auto"/>
          <w:sz w:val="24"/>
          <w:highlight w:val="none"/>
        </w:rPr>
      </w:pPr>
    </w:p>
    <w:p>
      <w:pPr>
        <w:pStyle w:val="11"/>
        <w:spacing w:line="312" w:lineRule="auto"/>
        <w:ind w:firstLine="480" w:firstLineChars="200"/>
        <w:rPr>
          <w:rFonts w:hAnsi="宋体"/>
          <w:color w:val="auto"/>
          <w:sz w:val="24"/>
          <w:highlight w:val="none"/>
        </w:rPr>
      </w:pPr>
    </w:p>
    <w:p>
      <w:pPr>
        <w:pStyle w:val="11"/>
        <w:spacing w:line="312" w:lineRule="auto"/>
        <w:ind w:firstLine="480" w:firstLineChars="200"/>
        <w:rPr>
          <w:rFonts w:hAnsi="宋体"/>
          <w:color w:val="auto"/>
          <w:sz w:val="24"/>
          <w:highlight w:val="none"/>
        </w:rPr>
      </w:pPr>
    </w:p>
    <w:p>
      <w:pPr>
        <w:pStyle w:val="11"/>
        <w:spacing w:line="312" w:lineRule="auto"/>
        <w:ind w:firstLine="480" w:firstLineChars="200"/>
        <w:rPr>
          <w:rFonts w:hAnsi="宋体"/>
          <w:color w:val="auto"/>
          <w:sz w:val="24"/>
          <w:highlight w:val="none"/>
        </w:rPr>
      </w:pPr>
    </w:p>
    <w:p>
      <w:pPr>
        <w:pStyle w:val="11"/>
        <w:spacing w:line="312" w:lineRule="auto"/>
        <w:ind w:firstLine="480" w:firstLineChars="200"/>
        <w:rPr>
          <w:rFonts w:hAnsi="宋体"/>
          <w:color w:val="auto"/>
          <w:sz w:val="24"/>
          <w:highlight w:val="none"/>
        </w:rPr>
      </w:pPr>
      <w:r>
        <w:rPr>
          <w:rFonts w:hint="eastAsia" w:hAnsi="宋体"/>
          <w:color w:val="auto"/>
          <w:sz w:val="24"/>
          <w:highlight w:val="none"/>
        </w:rPr>
        <w:t>评分标准细则如下</w:t>
      </w:r>
      <w:r>
        <w:rPr>
          <w:rFonts w:hAnsi="宋体"/>
          <w:color w:val="auto"/>
          <w:sz w:val="24"/>
          <w:highlight w:val="none"/>
        </w:rPr>
        <w:t>：</w:t>
      </w:r>
    </w:p>
    <w:tbl>
      <w:tblPr>
        <w:tblStyle w:val="21"/>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453"/>
        <w:gridCol w:w="799"/>
        <w:gridCol w:w="55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47" w:type="dxa"/>
            <w:shd w:val="clear" w:color="auto" w:fill="D6E3BC"/>
            <w:vAlign w:val="center"/>
          </w:tcPr>
          <w:p>
            <w:pPr>
              <w:jc w:val="center"/>
              <w:rPr>
                <w:rFonts w:hAnsi="宋体" w:cs="宋体"/>
                <w:b/>
                <w:bCs/>
                <w:color w:val="auto"/>
                <w:sz w:val="24"/>
                <w:highlight w:val="none"/>
              </w:rPr>
            </w:pPr>
            <w:r>
              <w:rPr>
                <w:rFonts w:hint="eastAsia" w:hAnsi="宋体" w:cs="宋体"/>
                <w:b/>
                <w:bCs/>
                <w:color w:val="auto"/>
                <w:sz w:val="24"/>
                <w:highlight w:val="none"/>
              </w:rPr>
              <w:t>评标内容</w:t>
            </w:r>
          </w:p>
        </w:tc>
        <w:tc>
          <w:tcPr>
            <w:tcW w:w="7786" w:type="dxa"/>
            <w:gridSpan w:val="3"/>
            <w:shd w:val="clear" w:color="auto" w:fill="D6E3BC"/>
            <w:vAlign w:val="center"/>
          </w:tcPr>
          <w:p>
            <w:pPr>
              <w:jc w:val="center"/>
              <w:rPr>
                <w:rFonts w:hAnsi="宋体" w:cs="宋体"/>
                <w:b/>
                <w:bCs/>
                <w:color w:val="auto"/>
                <w:sz w:val="24"/>
                <w:highlight w:val="none"/>
              </w:rPr>
            </w:pPr>
            <w:r>
              <w:rPr>
                <w:rFonts w:hint="eastAsia" w:hAnsi="宋体" w:cs="宋体"/>
                <w:b/>
                <w:bCs/>
                <w:color w:val="auto"/>
                <w:sz w:val="24"/>
                <w:highlight w:val="none"/>
              </w:rPr>
              <w:t>细则内容</w:t>
            </w:r>
          </w:p>
        </w:tc>
        <w:tc>
          <w:tcPr>
            <w:tcW w:w="907" w:type="dxa"/>
            <w:shd w:val="clear" w:color="auto" w:fill="D6E3BC"/>
            <w:vAlign w:val="center"/>
          </w:tcPr>
          <w:p>
            <w:pPr>
              <w:jc w:val="center"/>
              <w:rPr>
                <w:rFonts w:hAnsi="宋体" w:cs="宋体"/>
                <w:b/>
                <w:bCs/>
                <w:color w:val="auto"/>
                <w:sz w:val="24"/>
                <w:highlight w:val="none"/>
              </w:rPr>
            </w:pPr>
            <w:r>
              <w:rPr>
                <w:rFonts w:hint="eastAsia" w:hAnsi="宋体"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restart"/>
            <w:vAlign w:val="center"/>
          </w:tcPr>
          <w:p>
            <w:pPr>
              <w:jc w:val="center"/>
              <w:rPr>
                <w:rFonts w:hAnsi="宋体" w:cs="宋体"/>
                <w:color w:val="auto"/>
                <w:sz w:val="24"/>
                <w:highlight w:val="none"/>
              </w:rPr>
            </w:pPr>
            <w:r>
              <w:rPr>
                <w:rFonts w:hint="eastAsia" w:hAnsi="宋体" w:cs="宋体"/>
                <w:color w:val="auto"/>
                <w:sz w:val="24"/>
                <w:highlight w:val="none"/>
              </w:rPr>
              <w:t>监理方案和服务能力（45分）</w:t>
            </w:r>
          </w:p>
        </w:tc>
        <w:tc>
          <w:tcPr>
            <w:tcW w:w="1453" w:type="dxa"/>
            <w:vMerge w:val="restart"/>
            <w:vAlign w:val="center"/>
          </w:tcPr>
          <w:p>
            <w:pPr>
              <w:jc w:val="center"/>
              <w:rPr>
                <w:rFonts w:hAnsi="宋体" w:cs="宋体"/>
                <w:color w:val="auto"/>
                <w:sz w:val="24"/>
                <w:highlight w:val="none"/>
              </w:rPr>
            </w:pPr>
            <w:r>
              <w:rPr>
                <w:rFonts w:hint="eastAsia" w:hAnsi="宋体" w:cs="宋体"/>
                <w:color w:val="auto"/>
                <w:sz w:val="24"/>
                <w:highlight w:val="none"/>
              </w:rPr>
              <w:t>监理技术方案（40分）</w:t>
            </w:r>
          </w:p>
        </w:tc>
        <w:tc>
          <w:tcPr>
            <w:tcW w:w="6333" w:type="dxa"/>
            <w:gridSpan w:val="2"/>
            <w:vAlign w:val="center"/>
          </w:tcPr>
          <w:p>
            <w:pPr>
              <w:rPr>
                <w:rFonts w:hAnsi="宋体" w:cs="宋体"/>
                <w:color w:val="auto"/>
                <w:sz w:val="24"/>
                <w:highlight w:val="none"/>
              </w:rPr>
            </w:pPr>
            <w:r>
              <w:rPr>
                <w:rFonts w:hint="eastAsia" w:hAnsi="宋体" w:cs="宋体"/>
                <w:color w:val="auto"/>
                <w:sz w:val="24"/>
                <w:highlight w:val="none"/>
              </w:rPr>
              <w:t>针对本项目情况制定项目建设监理方案，科学合理地采取质量控制、进度控制、投资控制、变更控制、合同和信息管理、组织协调等监理措施综合评定。优上的得20分,优的得18分，优下的得16分；良上的得14分，良的得12分，良下的得10分；一般上的得7分，一般的得4分，一般下的得1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347" w:type="dxa"/>
            <w:vMerge w:val="continue"/>
            <w:vAlign w:val="center"/>
          </w:tcPr>
          <w:p>
            <w:pPr>
              <w:jc w:val="center"/>
              <w:rPr>
                <w:rFonts w:hAnsi="宋体" w:cs="宋体"/>
                <w:color w:val="auto"/>
                <w:sz w:val="24"/>
                <w:highlight w:val="none"/>
              </w:rPr>
            </w:pPr>
          </w:p>
        </w:tc>
        <w:tc>
          <w:tcPr>
            <w:tcW w:w="1453" w:type="dxa"/>
            <w:vMerge w:val="continue"/>
            <w:vAlign w:val="center"/>
          </w:tcPr>
          <w:p>
            <w:pPr>
              <w:jc w:val="center"/>
              <w:rPr>
                <w:rFonts w:hAnsi="宋体" w:cs="宋体"/>
                <w:color w:val="auto"/>
                <w:sz w:val="24"/>
                <w:highlight w:val="none"/>
              </w:rPr>
            </w:pPr>
          </w:p>
        </w:tc>
        <w:tc>
          <w:tcPr>
            <w:tcW w:w="6333" w:type="dxa"/>
            <w:gridSpan w:val="2"/>
            <w:vAlign w:val="center"/>
          </w:tcPr>
          <w:p>
            <w:pPr>
              <w:rPr>
                <w:rFonts w:hAnsi="宋体" w:cs="宋体"/>
                <w:color w:val="auto"/>
                <w:sz w:val="24"/>
                <w:highlight w:val="none"/>
              </w:rPr>
            </w:pPr>
            <w:r>
              <w:rPr>
                <w:rFonts w:hint="eastAsia" w:hAnsi="宋体" w:cs="宋体"/>
                <w:color w:val="auto"/>
                <w:sz w:val="24"/>
                <w:highlight w:val="none"/>
              </w:rPr>
              <w:t>安全及文明施工监督方案：针对本项目情况科学合理地采取安全及文明施工控制等措施综合评定，优的得4分，良的得3分，一般的得2分，合格的得1分，差的得0分。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347" w:type="dxa"/>
            <w:vMerge w:val="continue"/>
            <w:vAlign w:val="center"/>
          </w:tcPr>
          <w:p>
            <w:pPr>
              <w:jc w:val="center"/>
              <w:rPr>
                <w:rFonts w:hAnsi="宋体" w:cs="宋体"/>
                <w:color w:val="auto"/>
                <w:sz w:val="24"/>
                <w:highlight w:val="none"/>
              </w:rPr>
            </w:pPr>
          </w:p>
        </w:tc>
        <w:tc>
          <w:tcPr>
            <w:tcW w:w="1453" w:type="dxa"/>
            <w:vMerge w:val="continue"/>
            <w:vAlign w:val="center"/>
          </w:tcPr>
          <w:p>
            <w:pPr>
              <w:jc w:val="center"/>
              <w:rPr>
                <w:rFonts w:hAnsi="宋体" w:cs="宋体"/>
                <w:color w:val="auto"/>
                <w:sz w:val="24"/>
                <w:highlight w:val="none"/>
              </w:rPr>
            </w:pPr>
          </w:p>
        </w:tc>
        <w:tc>
          <w:tcPr>
            <w:tcW w:w="6333" w:type="dxa"/>
            <w:gridSpan w:val="2"/>
            <w:vAlign w:val="center"/>
          </w:tcPr>
          <w:p>
            <w:pPr>
              <w:rPr>
                <w:rFonts w:hAnsi="宋体" w:cs="宋体"/>
                <w:color w:val="auto"/>
                <w:sz w:val="24"/>
                <w:highlight w:val="none"/>
              </w:rPr>
            </w:pPr>
            <w:r>
              <w:rPr>
                <w:rFonts w:hint="eastAsia" w:hAnsi="宋体" w:cs="宋体"/>
                <w:color w:val="auto"/>
                <w:sz w:val="24"/>
                <w:highlight w:val="none"/>
              </w:rPr>
              <w:t>监理合理化建议：在对本项目理解的基础上，针对项目建设提出的监理建议是否合理综合评定，优的得4分，良的得3分，一般的得2分，合格的得1分，差的得0分。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347" w:type="dxa"/>
            <w:vMerge w:val="continue"/>
            <w:vAlign w:val="center"/>
          </w:tcPr>
          <w:p>
            <w:pPr>
              <w:jc w:val="center"/>
              <w:rPr>
                <w:rFonts w:hAnsi="宋体" w:cs="宋体"/>
                <w:color w:val="auto"/>
                <w:sz w:val="24"/>
                <w:highlight w:val="none"/>
              </w:rPr>
            </w:pPr>
          </w:p>
        </w:tc>
        <w:tc>
          <w:tcPr>
            <w:tcW w:w="1453" w:type="dxa"/>
            <w:vMerge w:val="continue"/>
            <w:vAlign w:val="center"/>
          </w:tcPr>
          <w:p>
            <w:pPr>
              <w:jc w:val="center"/>
              <w:rPr>
                <w:rFonts w:hAnsi="宋体" w:cs="宋体"/>
                <w:color w:val="auto"/>
                <w:sz w:val="24"/>
                <w:highlight w:val="none"/>
              </w:rPr>
            </w:pPr>
          </w:p>
        </w:tc>
        <w:tc>
          <w:tcPr>
            <w:tcW w:w="6333" w:type="dxa"/>
            <w:gridSpan w:val="2"/>
            <w:vAlign w:val="center"/>
          </w:tcPr>
          <w:p>
            <w:pPr>
              <w:rPr>
                <w:rFonts w:hAnsi="宋体" w:cs="宋体"/>
                <w:color w:val="auto"/>
                <w:sz w:val="24"/>
                <w:highlight w:val="none"/>
              </w:rPr>
            </w:pPr>
            <w:r>
              <w:rPr>
                <w:rFonts w:hint="eastAsia" w:hAnsi="宋体" w:cs="宋体"/>
                <w:color w:val="auto"/>
                <w:sz w:val="24"/>
                <w:highlight w:val="none"/>
              </w:rPr>
              <w:t>项目监理关键点、重点难点的特殊控制方案：针对本项目情况，找准关键点，克服难点重点，并提出切实可行的特殊控制措施综合评定，优上的得8分,优的得7分，优下的得6分；良上的得5分，良的得4分，良下的得3分；一般的得2分，差的得1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continue"/>
            <w:vAlign w:val="center"/>
          </w:tcPr>
          <w:p>
            <w:pPr>
              <w:jc w:val="center"/>
              <w:rPr>
                <w:rFonts w:hAnsi="宋体" w:cs="宋体"/>
                <w:color w:val="auto"/>
                <w:sz w:val="24"/>
                <w:highlight w:val="none"/>
              </w:rPr>
            </w:pPr>
          </w:p>
        </w:tc>
        <w:tc>
          <w:tcPr>
            <w:tcW w:w="1453" w:type="dxa"/>
            <w:vMerge w:val="continue"/>
            <w:vAlign w:val="center"/>
          </w:tcPr>
          <w:p>
            <w:pPr>
              <w:jc w:val="center"/>
              <w:rPr>
                <w:rFonts w:hAnsi="宋体" w:cs="宋体"/>
                <w:color w:val="auto"/>
                <w:sz w:val="24"/>
                <w:highlight w:val="none"/>
              </w:rPr>
            </w:pPr>
          </w:p>
        </w:tc>
        <w:tc>
          <w:tcPr>
            <w:tcW w:w="6333" w:type="dxa"/>
            <w:gridSpan w:val="2"/>
            <w:vAlign w:val="center"/>
          </w:tcPr>
          <w:p>
            <w:pPr>
              <w:rPr>
                <w:rFonts w:hAnsi="宋体" w:cs="宋体"/>
                <w:color w:val="auto"/>
                <w:sz w:val="24"/>
                <w:highlight w:val="none"/>
              </w:rPr>
            </w:pPr>
            <w:r>
              <w:rPr>
                <w:rFonts w:hint="eastAsia" w:hAnsi="宋体" w:cs="宋体"/>
                <w:color w:val="auto"/>
                <w:sz w:val="24"/>
                <w:highlight w:val="none"/>
              </w:rPr>
              <w:t>应急响应方案：针对本项目应急情况下快速提供人员配备及相关措施综合评定，优的得4分，良的得3分，一般的得2分，合格的得1分，差的得0分。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continue"/>
            <w:vAlign w:val="center"/>
          </w:tcPr>
          <w:p>
            <w:pPr>
              <w:jc w:val="center"/>
              <w:rPr>
                <w:rFonts w:hAnsi="宋体" w:cs="宋体"/>
                <w:color w:val="auto"/>
                <w:sz w:val="24"/>
                <w:highlight w:val="none"/>
              </w:rPr>
            </w:pPr>
          </w:p>
        </w:tc>
        <w:tc>
          <w:tcPr>
            <w:tcW w:w="1453" w:type="dxa"/>
            <w:vAlign w:val="center"/>
          </w:tcPr>
          <w:p>
            <w:pPr>
              <w:rPr>
                <w:rFonts w:hAnsi="宋体" w:cs="宋体"/>
                <w:color w:val="auto"/>
                <w:sz w:val="24"/>
                <w:highlight w:val="none"/>
              </w:rPr>
            </w:pPr>
            <w:r>
              <w:rPr>
                <w:rFonts w:hint="eastAsia" w:hAnsi="宋体" w:cs="宋体"/>
                <w:color w:val="auto"/>
                <w:sz w:val="24"/>
                <w:highlight w:val="none"/>
              </w:rPr>
              <w:t>本地化服务能力（5分）</w:t>
            </w:r>
          </w:p>
        </w:tc>
        <w:tc>
          <w:tcPr>
            <w:tcW w:w="6333" w:type="dxa"/>
            <w:gridSpan w:val="2"/>
            <w:vAlign w:val="center"/>
          </w:tcPr>
          <w:p>
            <w:pPr>
              <w:rPr>
                <w:rFonts w:hAnsi="宋体" w:cs="宋体"/>
                <w:color w:val="auto"/>
                <w:sz w:val="24"/>
                <w:highlight w:val="none"/>
              </w:rPr>
            </w:pPr>
            <w:r>
              <w:rPr>
                <w:rFonts w:hint="eastAsia" w:hAnsi="宋体" w:cs="宋体"/>
                <w:color w:val="auto"/>
                <w:sz w:val="24"/>
                <w:highlight w:val="none"/>
              </w:rPr>
              <w:t>根据提供本地化服务能力的情况进行比较综合评分,是否具有较强的本地化服务能力，在台州是否拥有常驻服务机构，本地持证监理工程师储备以及人员稳定性方面的保障措施等；优的得5分，良的得4分，一般的得3分，合格的得2分，差的得1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47" w:type="dxa"/>
            <w:vAlign w:val="center"/>
          </w:tcPr>
          <w:p>
            <w:pPr>
              <w:jc w:val="center"/>
              <w:rPr>
                <w:rFonts w:hAnsi="宋体" w:cs="宋体"/>
                <w:color w:val="auto"/>
                <w:sz w:val="24"/>
                <w:highlight w:val="none"/>
              </w:rPr>
            </w:pPr>
            <w:r>
              <w:rPr>
                <w:rFonts w:hint="eastAsia" w:hAnsi="宋体" w:cs="宋体"/>
                <w:color w:val="auto"/>
                <w:sz w:val="24"/>
                <w:highlight w:val="none"/>
              </w:rPr>
              <w:t>监理业绩</w:t>
            </w:r>
          </w:p>
          <w:p>
            <w:pPr>
              <w:jc w:val="center"/>
              <w:rPr>
                <w:rFonts w:hAnsi="宋体" w:cs="宋体"/>
                <w:color w:val="auto"/>
                <w:sz w:val="24"/>
                <w:highlight w:val="none"/>
              </w:rPr>
            </w:pPr>
            <w:r>
              <w:rPr>
                <w:rFonts w:hint="eastAsia" w:hAnsi="宋体" w:cs="宋体"/>
                <w:color w:val="auto"/>
                <w:sz w:val="24"/>
                <w:highlight w:val="none"/>
              </w:rPr>
              <w:t>（5分）</w:t>
            </w:r>
          </w:p>
        </w:tc>
        <w:tc>
          <w:tcPr>
            <w:tcW w:w="7786" w:type="dxa"/>
            <w:gridSpan w:val="3"/>
            <w:vAlign w:val="center"/>
          </w:tcPr>
          <w:p>
            <w:pPr>
              <w:rPr>
                <w:rFonts w:hAnsi="宋体" w:cs="宋体"/>
                <w:b/>
                <w:color w:val="auto"/>
                <w:sz w:val="24"/>
                <w:highlight w:val="none"/>
              </w:rPr>
            </w:pPr>
            <w:r>
              <w:rPr>
                <w:rFonts w:hint="eastAsia" w:hAnsi="宋体" w:cs="宋体"/>
                <w:color w:val="auto"/>
                <w:sz w:val="24"/>
                <w:highlight w:val="none"/>
              </w:rPr>
              <w:t>投标人自2017年1月1日（含）以来具有政府投资的类似信息化监理项目业绩，每提供一个得1分，最高得5分。</w:t>
            </w:r>
            <w:r>
              <w:rPr>
                <w:rFonts w:hint="eastAsia" w:hAnsi="宋体" w:cs="宋体"/>
                <w:b/>
                <w:color w:val="auto"/>
                <w:sz w:val="24"/>
                <w:highlight w:val="none"/>
              </w:rPr>
              <w:t>（投标文件中提供合同复印件并加盖公章，原件备查）</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Align w:val="center"/>
          </w:tcPr>
          <w:p>
            <w:pPr>
              <w:jc w:val="center"/>
              <w:rPr>
                <w:rFonts w:hAnsi="宋体" w:cs="宋体"/>
                <w:color w:val="auto"/>
                <w:sz w:val="24"/>
                <w:highlight w:val="none"/>
              </w:rPr>
            </w:pPr>
            <w:r>
              <w:rPr>
                <w:rFonts w:hint="eastAsia" w:hAnsi="宋体" w:cs="宋体"/>
                <w:color w:val="auto"/>
                <w:sz w:val="24"/>
                <w:highlight w:val="none"/>
              </w:rPr>
              <w:t>优惠承诺（3分）</w:t>
            </w:r>
          </w:p>
        </w:tc>
        <w:tc>
          <w:tcPr>
            <w:tcW w:w="7786" w:type="dxa"/>
            <w:gridSpan w:val="3"/>
            <w:vAlign w:val="center"/>
          </w:tcPr>
          <w:p>
            <w:pPr>
              <w:rPr>
                <w:rFonts w:hAnsi="宋体" w:cs="宋体"/>
                <w:color w:val="auto"/>
                <w:sz w:val="24"/>
                <w:highlight w:val="none"/>
              </w:rPr>
            </w:pPr>
            <w:r>
              <w:rPr>
                <w:rFonts w:hint="eastAsia" w:hAnsi="宋体" w:cs="宋体"/>
                <w:color w:val="auto"/>
                <w:sz w:val="24"/>
                <w:highlight w:val="none"/>
              </w:rPr>
              <w:t>根据投标人针对本项目提供的优惠措施和服务承诺进行综合评定3-0分。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restart"/>
            <w:vAlign w:val="center"/>
          </w:tcPr>
          <w:p>
            <w:pPr>
              <w:jc w:val="center"/>
              <w:rPr>
                <w:rFonts w:hAnsi="宋体" w:cs="宋体"/>
                <w:color w:val="auto"/>
                <w:sz w:val="24"/>
                <w:highlight w:val="none"/>
              </w:rPr>
            </w:pPr>
            <w:r>
              <w:rPr>
                <w:rFonts w:hint="eastAsia" w:hAnsi="宋体" w:cs="宋体"/>
                <w:color w:val="auto"/>
                <w:sz w:val="24"/>
                <w:highlight w:val="none"/>
              </w:rPr>
              <w:t>企业综合实力</w:t>
            </w:r>
          </w:p>
          <w:p>
            <w:pPr>
              <w:jc w:val="center"/>
              <w:rPr>
                <w:rFonts w:hAnsi="宋体" w:cs="宋体"/>
                <w:color w:val="auto"/>
                <w:sz w:val="24"/>
                <w:highlight w:val="none"/>
              </w:rPr>
            </w:pPr>
            <w:r>
              <w:rPr>
                <w:rFonts w:hint="eastAsia" w:hAnsi="宋体" w:cs="宋体"/>
                <w:color w:val="auto"/>
                <w:sz w:val="24"/>
                <w:highlight w:val="none"/>
              </w:rPr>
              <w:t>（9分）</w:t>
            </w:r>
          </w:p>
        </w:tc>
        <w:tc>
          <w:tcPr>
            <w:tcW w:w="2252" w:type="dxa"/>
            <w:gridSpan w:val="2"/>
            <w:vMerge w:val="restart"/>
            <w:vAlign w:val="center"/>
          </w:tcPr>
          <w:p>
            <w:pPr>
              <w:rPr>
                <w:rFonts w:hAnsi="宋体" w:cs="宋体"/>
                <w:color w:val="auto"/>
                <w:sz w:val="24"/>
                <w:highlight w:val="none"/>
              </w:rPr>
            </w:pPr>
            <w:r>
              <w:rPr>
                <w:rFonts w:hint="eastAsia" w:hAnsi="宋体" w:cs="宋体"/>
                <w:color w:val="auto"/>
                <w:sz w:val="24"/>
                <w:highlight w:val="none"/>
              </w:rPr>
              <w:t>投标人资质认证证书、荣誉、信息化管理软件等</w:t>
            </w:r>
          </w:p>
          <w:p>
            <w:pPr>
              <w:rPr>
                <w:rFonts w:hAnsi="宋体" w:cs="宋体"/>
                <w:b/>
                <w:color w:val="auto"/>
                <w:sz w:val="24"/>
                <w:highlight w:val="none"/>
              </w:rPr>
            </w:pPr>
            <w:r>
              <w:rPr>
                <w:rFonts w:hint="eastAsia" w:hAnsi="宋体" w:cs="宋体"/>
                <w:b/>
                <w:color w:val="auto"/>
                <w:sz w:val="24"/>
                <w:highlight w:val="none"/>
              </w:rPr>
              <w:t>（投标文件中提供资质证书及相关证明材料复印件并加盖公章，原件备查）</w:t>
            </w:r>
          </w:p>
        </w:tc>
        <w:tc>
          <w:tcPr>
            <w:tcW w:w="5534" w:type="dxa"/>
            <w:vAlign w:val="center"/>
          </w:tcPr>
          <w:p>
            <w:pPr>
              <w:rPr>
                <w:rFonts w:hAnsi="宋体" w:cs="宋体"/>
                <w:color w:val="auto"/>
                <w:sz w:val="24"/>
                <w:highlight w:val="none"/>
              </w:rPr>
            </w:pPr>
            <w:r>
              <w:rPr>
                <w:rFonts w:hint="eastAsia" w:hAnsi="宋体" w:cs="宋体"/>
                <w:color w:val="auto"/>
                <w:sz w:val="24"/>
                <w:highlight w:val="none"/>
              </w:rPr>
              <w:t>具有质量管理体系认证证书、信息技术服务管理体系认证证书、信息安全管理体系认证证书、职业健康安全管理体系认证证书的，每一项得1分，最高得4分，没有不得分。</w:t>
            </w:r>
          </w:p>
        </w:tc>
        <w:tc>
          <w:tcPr>
            <w:tcW w:w="907" w:type="dxa"/>
            <w:vAlign w:val="center"/>
          </w:tcPr>
          <w:p>
            <w:pPr>
              <w:jc w:val="center"/>
              <w:rPr>
                <w:rFonts w:hAnsi="宋体" w:cs="宋体"/>
                <w:bCs/>
                <w:color w:val="auto"/>
                <w:sz w:val="24"/>
                <w:highlight w:val="none"/>
              </w:rPr>
            </w:pPr>
            <w:r>
              <w:rPr>
                <w:rFonts w:hint="eastAsia" w:hAnsi="宋体" w:cs="宋体"/>
                <w:bCs/>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continue"/>
            <w:vAlign w:val="center"/>
          </w:tcPr>
          <w:p>
            <w:pPr>
              <w:rPr>
                <w:rFonts w:hAnsi="宋体" w:cs="宋体"/>
                <w:color w:val="auto"/>
                <w:sz w:val="24"/>
                <w:highlight w:val="none"/>
              </w:rPr>
            </w:pPr>
          </w:p>
        </w:tc>
        <w:tc>
          <w:tcPr>
            <w:tcW w:w="2252" w:type="dxa"/>
            <w:gridSpan w:val="2"/>
            <w:vMerge w:val="continue"/>
            <w:vAlign w:val="center"/>
          </w:tcPr>
          <w:p>
            <w:pPr>
              <w:rPr>
                <w:rFonts w:hAnsi="宋体" w:cs="宋体"/>
                <w:color w:val="auto"/>
                <w:sz w:val="24"/>
                <w:highlight w:val="none"/>
              </w:rPr>
            </w:pPr>
          </w:p>
        </w:tc>
        <w:tc>
          <w:tcPr>
            <w:tcW w:w="5534" w:type="dxa"/>
            <w:vAlign w:val="center"/>
          </w:tcPr>
          <w:p>
            <w:pPr>
              <w:rPr>
                <w:rFonts w:hAnsi="宋体" w:cs="宋体"/>
                <w:color w:val="auto"/>
                <w:sz w:val="24"/>
                <w:highlight w:val="none"/>
              </w:rPr>
            </w:pPr>
            <w:r>
              <w:rPr>
                <w:rFonts w:hint="eastAsia" w:hAnsi="宋体" w:cs="宋体"/>
                <w:color w:val="auto"/>
                <w:sz w:val="24"/>
                <w:highlight w:val="none"/>
              </w:rPr>
              <w:t>具有国家发改委颁发的工程项目管理（通信信息专业）资格证书的得1分，具有省级及以上科技型企业认定证书的得1分。本项最高得2分。</w:t>
            </w:r>
          </w:p>
        </w:tc>
        <w:tc>
          <w:tcPr>
            <w:tcW w:w="907" w:type="dxa"/>
            <w:vAlign w:val="center"/>
          </w:tcPr>
          <w:p>
            <w:pPr>
              <w:jc w:val="center"/>
              <w:rPr>
                <w:rFonts w:hAnsi="宋体" w:cs="宋体"/>
                <w:color w:val="auto"/>
                <w:sz w:val="24"/>
                <w:highlight w:val="none"/>
              </w:rPr>
            </w:pPr>
            <w:r>
              <w:rPr>
                <w:rFonts w:hint="eastAsia" w:hAnsi="宋体" w:cs="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continue"/>
            <w:vAlign w:val="center"/>
          </w:tcPr>
          <w:p>
            <w:pPr>
              <w:rPr>
                <w:rFonts w:hAnsi="宋体" w:cs="宋体"/>
                <w:color w:val="auto"/>
                <w:sz w:val="24"/>
                <w:highlight w:val="none"/>
              </w:rPr>
            </w:pPr>
          </w:p>
        </w:tc>
        <w:tc>
          <w:tcPr>
            <w:tcW w:w="2252" w:type="dxa"/>
            <w:gridSpan w:val="2"/>
            <w:vMerge w:val="continue"/>
            <w:vAlign w:val="center"/>
          </w:tcPr>
          <w:p>
            <w:pPr>
              <w:rPr>
                <w:rFonts w:hAnsi="宋体" w:cs="宋体"/>
                <w:color w:val="auto"/>
                <w:sz w:val="24"/>
                <w:highlight w:val="none"/>
              </w:rPr>
            </w:pPr>
          </w:p>
        </w:tc>
        <w:tc>
          <w:tcPr>
            <w:tcW w:w="5534" w:type="dxa"/>
            <w:vAlign w:val="center"/>
          </w:tcPr>
          <w:p>
            <w:pPr>
              <w:rPr>
                <w:rFonts w:hAnsi="宋体" w:cs="宋体"/>
                <w:color w:val="auto"/>
                <w:sz w:val="24"/>
                <w:highlight w:val="none"/>
              </w:rPr>
            </w:pPr>
            <w:r>
              <w:rPr>
                <w:rFonts w:hint="eastAsia" w:hAnsi="宋体" w:cs="宋体"/>
                <w:color w:val="auto"/>
                <w:sz w:val="24"/>
                <w:highlight w:val="none"/>
              </w:rPr>
              <w:t>具有工程咨询行业颁发的工程咨询资信（电子、信息专业）及PPP专项资信证书的得2分。</w:t>
            </w:r>
          </w:p>
        </w:tc>
        <w:tc>
          <w:tcPr>
            <w:tcW w:w="907" w:type="dxa"/>
            <w:vAlign w:val="center"/>
          </w:tcPr>
          <w:p>
            <w:pPr>
              <w:jc w:val="center"/>
              <w:rPr>
                <w:rFonts w:hAnsi="宋体" w:cs="宋体"/>
                <w:color w:val="auto"/>
                <w:sz w:val="24"/>
                <w:highlight w:val="none"/>
              </w:rPr>
            </w:pPr>
            <w:r>
              <w:rPr>
                <w:rFonts w:hint="eastAsia" w:hAnsi="宋体" w:cs="宋体"/>
                <w:color w:val="auto"/>
                <w:sz w:val="24"/>
                <w:highlight w:val="none"/>
              </w:rPr>
              <w:t>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continue"/>
            <w:vAlign w:val="center"/>
          </w:tcPr>
          <w:p>
            <w:pPr>
              <w:rPr>
                <w:rFonts w:hAnsi="宋体" w:cs="宋体"/>
                <w:color w:val="auto"/>
                <w:sz w:val="24"/>
                <w:highlight w:val="none"/>
              </w:rPr>
            </w:pPr>
          </w:p>
        </w:tc>
        <w:tc>
          <w:tcPr>
            <w:tcW w:w="2252" w:type="dxa"/>
            <w:gridSpan w:val="2"/>
            <w:vMerge w:val="continue"/>
            <w:vAlign w:val="center"/>
          </w:tcPr>
          <w:p>
            <w:pPr>
              <w:rPr>
                <w:rFonts w:hAnsi="宋体" w:cs="宋体"/>
                <w:color w:val="auto"/>
                <w:sz w:val="24"/>
                <w:highlight w:val="none"/>
              </w:rPr>
            </w:pPr>
          </w:p>
        </w:tc>
        <w:tc>
          <w:tcPr>
            <w:tcW w:w="5534" w:type="dxa"/>
            <w:vAlign w:val="center"/>
          </w:tcPr>
          <w:p>
            <w:pPr>
              <w:rPr>
                <w:rFonts w:hAnsi="宋体" w:cs="宋体"/>
                <w:color w:val="auto"/>
                <w:sz w:val="24"/>
                <w:highlight w:val="none"/>
              </w:rPr>
            </w:pPr>
            <w:r>
              <w:rPr>
                <w:rFonts w:hint="eastAsia" w:hAnsi="宋体" w:cs="宋体"/>
                <w:color w:val="auto"/>
                <w:sz w:val="24"/>
                <w:highlight w:val="none"/>
              </w:rPr>
              <w:t>获得过省级及以上市场监督管理局（或同级别相关主管部门）颁发的“信用管理示范企业”证书的得1分。</w:t>
            </w:r>
          </w:p>
        </w:tc>
        <w:tc>
          <w:tcPr>
            <w:tcW w:w="907" w:type="dxa"/>
            <w:vAlign w:val="center"/>
          </w:tcPr>
          <w:p>
            <w:pPr>
              <w:jc w:val="center"/>
              <w:rPr>
                <w:rFonts w:hAnsi="宋体" w:cs="宋体"/>
                <w:color w:val="auto"/>
                <w:sz w:val="24"/>
                <w:highlight w:val="none"/>
              </w:rPr>
            </w:pPr>
            <w:r>
              <w:rPr>
                <w:rFonts w:hint="eastAsia" w:hAnsi="宋体" w:cs="宋体"/>
                <w:color w:val="auto"/>
                <w:sz w:val="24"/>
                <w:highlight w:val="none"/>
              </w:rPr>
              <w:t>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347" w:type="dxa"/>
            <w:vAlign w:val="center"/>
          </w:tcPr>
          <w:p>
            <w:pPr>
              <w:jc w:val="center"/>
              <w:rPr>
                <w:rFonts w:hAnsi="宋体" w:cs="宋体"/>
                <w:color w:val="auto"/>
                <w:sz w:val="24"/>
                <w:highlight w:val="none"/>
              </w:rPr>
            </w:pPr>
            <w:r>
              <w:rPr>
                <w:rFonts w:hint="eastAsia" w:hAnsi="宋体" w:cs="宋体"/>
                <w:color w:val="auto"/>
                <w:sz w:val="24"/>
                <w:highlight w:val="none"/>
              </w:rPr>
              <w:t>信息化管控能力</w:t>
            </w:r>
          </w:p>
          <w:p>
            <w:pPr>
              <w:jc w:val="center"/>
              <w:rPr>
                <w:rFonts w:hAnsi="宋体" w:cs="宋体"/>
                <w:color w:val="auto"/>
                <w:sz w:val="24"/>
                <w:highlight w:val="none"/>
              </w:rPr>
            </w:pPr>
            <w:r>
              <w:rPr>
                <w:rFonts w:hint="eastAsia" w:hAnsi="宋体" w:cs="宋体"/>
                <w:color w:val="auto"/>
                <w:sz w:val="24"/>
                <w:highlight w:val="none"/>
              </w:rPr>
              <w:t>（8分）</w:t>
            </w:r>
          </w:p>
        </w:tc>
        <w:tc>
          <w:tcPr>
            <w:tcW w:w="7786" w:type="dxa"/>
            <w:gridSpan w:val="3"/>
            <w:vAlign w:val="center"/>
          </w:tcPr>
          <w:p>
            <w:pPr>
              <w:rPr>
                <w:rFonts w:hAnsi="宋体" w:cs="宋体"/>
                <w:color w:val="auto"/>
                <w:sz w:val="24"/>
                <w:highlight w:val="none"/>
              </w:rPr>
            </w:pPr>
            <w:r>
              <w:rPr>
                <w:rFonts w:hint="eastAsia" w:hAnsi="宋体" w:cs="宋体"/>
                <w:color w:val="auto"/>
                <w:sz w:val="24"/>
                <w:highlight w:val="none"/>
              </w:rPr>
              <w:t>1、提供科学合理针对适用本项目监理工作的项目建设评估、风险控制及预警、工程算量进度管理、工程结算计价、安全监理监控、信息化项目流程审计等监理管理软件，每具有一个软件著作权登记证书的得0.5分，最高得3分。</w:t>
            </w:r>
          </w:p>
          <w:p>
            <w:pPr>
              <w:rPr>
                <w:rFonts w:hAnsi="宋体" w:cs="宋体"/>
                <w:color w:val="auto"/>
                <w:sz w:val="24"/>
                <w:highlight w:val="none"/>
              </w:rPr>
            </w:pPr>
            <w:r>
              <w:rPr>
                <w:rFonts w:hint="eastAsia" w:hAnsi="宋体" w:cs="宋体"/>
                <w:color w:val="auto"/>
                <w:sz w:val="24"/>
                <w:highlight w:val="none"/>
              </w:rPr>
              <w:t>2、提供科学合理的项目管理软件（具有电脑端和手机端），能够实现以下五大功能，提供PC端和手机端的软件截图以及该功能的软件流程图：</w:t>
            </w:r>
          </w:p>
          <w:p>
            <w:pPr>
              <w:rPr>
                <w:rFonts w:hAnsi="宋体" w:cs="宋体"/>
                <w:color w:val="auto"/>
                <w:sz w:val="24"/>
                <w:highlight w:val="none"/>
              </w:rPr>
            </w:pPr>
            <w:r>
              <w:rPr>
                <w:rFonts w:hint="eastAsia" w:hAnsi="宋体" w:cs="宋体"/>
                <w:color w:val="auto"/>
                <w:sz w:val="24"/>
                <w:highlight w:val="none"/>
              </w:rPr>
              <w:t>1）对本项目内各个分项合同执行情况进行实时审批管理，可设定并自动提醒合同支付节点，并统计分析合同执行进度和支付情况；</w:t>
            </w:r>
          </w:p>
          <w:p>
            <w:pPr>
              <w:rPr>
                <w:rFonts w:hAnsi="宋体" w:cs="宋体"/>
                <w:color w:val="auto"/>
                <w:sz w:val="24"/>
                <w:highlight w:val="none"/>
              </w:rPr>
            </w:pPr>
            <w:r>
              <w:rPr>
                <w:rFonts w:hint="eastAsia" w:hAnsi="宋体" w:cs="宋体"/>
                <w:color w:val="auto"/>
                <w:sz w:val="24"/>
                <w:highlight w:val="none"/>
              </w:rPr>
              <w:t>2）对项目每个实施阶段的计划周期以及所需提交的文档标准进行设定；</w:t>
            </w:r>
          </w:p>
          <w:p>
            <w:pPr>
              <w:rPr>
                <w:rFonts w:hAnsi="宋体" w:cs="宋体"/>
                <w:color w:val="auto"/>
                <w:sz w:val="24"/>
                <w:highlight w:val="none"/>
              </w:rPr>
            </w:pPr>
            <w:r>
              <w:rPr>
                <w:rFonts w:hint="eastAsia" w:hAnsi="宋体" w:cs="宋体"/>
                <w:color w:val="auto"/>
                <w:sz w:val="24"/>
                <w:highlight w:val="none"/>
              </w:rPr>
              <w:t xml:space="preserve">3）对每个阶段所设定的计划及文档进行流程性审核及全生命周期的跟踪； </w:t>
            </w:r>
          </w:p>
          <w:p>
            <w:pPr>
              <w:rPr>
                <w:rFonts w:hAnsi="宋体" w:cs="宋体"/>
                <w:color w:val="auto"/>
                <w:sz w:val="24"/>
                <w:highlight w:val="none"/>
              </w:rPr>
            </w:pPr>
            <w:r>
              <w:rPr>
                <w:rFonts w:hint="eastAsia" w:hAnsi="宋体" w:cs="宋体"/>
                <w:color w:val="auto"/>
                <w:sz w:val="24"/>
                <w:highlight w:val="none"/>
              </w:rPr>
              <w:t>4）对每个阶段的实际进度、文档的完成度和及时性进行统计分析及可视化图表展示；</w:t>
            </w:r>
          </w:p>
          <w:p>
            <w:pPr>
              <w:rPr>
                <w:rFonts w:hAnsi="宋体" w:cs="宋体"/>
                <w:color w:val="auto"/>
                <w:sz w:val="24"/>
                <w:highlight w:val="none"/>
              </w:rPr>
            </w:pPr>
            <w:r>
              <w:rPr>
                <w:rFonts w:hint="eastAsia" w:hAnsi="宋体" w:cs="宋体"/>
                <w:color w:val="auto"/>
                <w:sz w:val="24"/>
                <w:highlight w:val="none"/>
              </w:rPr>
              <w:t>5）可以根据需要对项目各个阶段的活动发出提示或者预警。</w:t>
            </w:r>
          </w:p>
          <w:p>
            <w:pPr>
              <w:rPr>
                <w:rFonts w:hAnsi="宋体" w:cs="宋体"/>
                <w:color w:val="auto"/>
                <w:highlight w:val="none"/>
              </w:rPr>
            </w:pPr>
            <w:r>
              <w:rPr>
                <w:rFonts w:hint="eastAsia" w:hAnsi="宋体" w:cs="宋体"/>
                <w:color w:val="auto"/>
                <w:sz w:val="24"/>
                <w:highlight w:val="none"/>
              </w:rPr>
              <w:t>每一项得1分，不满足不得分，最高得5分。</w:t>
            </w:r>
          </w:p>
        </w:tc>
        <w:tc>
          <w:tcPr>
            <w:tcW w:w="907" w:type="dxa"/>
            <w:vAlign w:val="center"/>
          </w:tcPr>
          <w:p>
            <w:pPr>
              <w:jc w:val="center"/>
              <w:rPr>
                <w:rFonts w:hAnsi="宋体" w:cs="宋体"/>
                <w:color w:val="auto"/>
                <w:sz w:val="24"/>
                <w:highlight w:val="none"/>
              </w:rPr>
            </w:pPr>
            <w:r>
              <w:rPr>
                <w:rFonts w:hint="eastAsia" w:hAnsi="宋体" w:cs="宋体"/>
                <w:color w:val="auto"/>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347" w:type="dxa"/>
            <w:vMerge w:val="restart"/>
            <w:vAlign w:val="center"/>
          </w:tcPr>
          <w:p>
            <w:pPr>
              <w:jc w:val="center"/>
              <w:rPr>
                <w:rFonts w:hAnsi="宋体" w:cs="宋体"/>
                <w:color w:val="auto"/>
                <w:sz w:val="24"/>
                <w:highlight w:val="none"/>
              </w:rPr>
            </w:pPr>
            <w:r>
              <w:rPr>
                <w:rFonts w:hint="eastAsia" w:hAnsi="宋体" w:cs="宋体"/>
                <w:color w:val="auto"/>
                <w:sz w:val="24"/>
                <w:highlight w:val="none"/>
              </w:rPr>
              <w:t>监理工作小组情况（10分）</w:t>
            </w:r>
          </w:p>
        </w:tc>
        <w:tc>
          <w:tcPr>
            <w:tcW w:w="2252" w:type="dxa"/>
            <w:gridSpan w:val="2"/>
            <w:vMerge w:val="restart"/>
            <w:vAlign w:val="center"/>
          </w:tcPr>
          <w:p>
            <w:pPr>
              <w:jc w:val="center"/>
              <w:rPr>
                <w:rFonts w:hAnsi="宋体" w:cs="宋体"/>
                <w:color w:val="auto"/>
                <w:sz w:val="24"/>
                <w:highlight w:val="none"/>
              </w:rPr>
            </w:pPr>
            <w:r>
              <w:rPr>
                <w:rFonts w:hint="eastAsia" w:hAnsi="宋体" w:cs="宋体"/>
                <w:color w:val="auto"/>
                <w:sz w:val="24"/>
                <w:highlight w:val="none"/>
              </w:rPr>
              <w:t>负责本项目的总监理工程师及工作小组其他成员综合实力情况</w:t>
            </w:r>
          </w:p>
          <w:p>
            <w:pPr>
              <w:jc w:val="center"/>
              <w:rPr>
                <w:rFonts w:hAnsi="宋体" w:cs="宋体"/>
                <w:color w:val="auto"/>
                <w:sz w:val="24"/>
                <w:highlight w:val="none"/>
              </w:rPr>
            </w:pPr>
            <w:r>
              <w:rPr>
                <w:rFonts w:hint="eastAsia" w:hAnsi="宋体" w:cs="宋体"/>
                <w:b/>
                <w:color w:val="auto"/>
                <w:sz w:val="24"/>
                <w:highlight w:val="none"/>
              </w:rPr>
              <w:t>（投标文件中提供人员证书、近3个月本单位社保证明等复印件并加盖公章，原件备查）</w:t>
            </w:r>
          </w:p>
          <w:p>
            <w:pPr>
              <w:rPr>
                <w:rFonts w:hAnsi="宋体" w:cs="宋体"/>
                <w:b/>
                <w:color w:val="auto"/>
                <w:sz w:val="24"/>
                <w:highlight w:val="none"/>
              </w:rPr>
            </w:pPr>
          </w:p>
        </w:tc>
        <w:tc>
          <w:tcPr>
            <w:tcW w:w="5534" w:type="dxa"/>
          </w:tcPr>
          <w:p>
            <w:pPr>
              <w:pStyle w:val="103"/>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总监理工程师在具有信息系统监理师资格证书基础上，同时</w:t>
            </w:r>
            <w:r>
              <w:rPr>
                <w:rFonts w:hint="eastAsia" w:ascii="宋体" w:hAnsi="宋体" w:cs="宋体"/>
                <w:color w:val="auto"/>
                <w:sz w:val="24"/>
                <w:szCs w:val="24"/>
                <w:highlight w:val="none"/>
                <w:lang w:val="zh-CN"/>
              </w:rPr>
              <w:t>具有</w:t>
            </w:r>
            <w:r>
              <w:rPr>
                <w:rFonts w:hint="eastAsia" w:ascii="宋体" w:hAnsi="宋体" w:cs="宋体"/>
                <w:color w:val="auto"/>
                <w:sz w:val="24"/>
                <w:szCs w:val="24"/>
                <w:highlight w:val="none"/>
              </w:rPr>
              <w:t>信息系统项目管理师(高级)和高级网络安全系统测评师证书的得3分，不满足不得分。</w:t>
            </w:r>
          </w:p>
        </w:tc>
        <w:tc>
          <w:tcPr>
            <w:tcW w:w="907" w:type="dxa"/>
            <w:vAlign w:val="center"/>
          </w:tcPr>
          <w:p>
            <w:pPr>
              <w:jc w:val="center"/>
              <w:rPr>
                <w:rFonts w:hAnsi="宋体" w:cs="宋体"/>
                <w:color w:val="auto"/>
                <w:sz w:val="24"/>
                <w:highlight w:val="none"/>
              </w:rPr>
            </w:pPr>
            <w:r>
              <w:rPr>
                <w:rFonts w:hint="eastAsia"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1347" w:type="dxa"/>
            <w:vMerge w:val="continue"/>
            <w:vAlign w:val="center"/>
          </w:tcPr>
          <w:p>
            <w:pPr>
              <w:jc w:val="center"/>
              <w:rPr>
                <w:rFonts w:hAnsi="宋体" w:cs="宋体"/>
                <w:color w:val="auto"/>
                <w:sz w:val="24"/>
                <w:highlight w:val="none"/>
              </w:rPr>
            </w:pPr>
          </w:p>
        </w:tc>
        <w:tc>
          <w:tcPr>
            <w:tcW w:w="2252" w:type="dxa"/>
            <w:gridSpan w:val="2"/>
            <w:vMerge w:val="continue"/>
            <w:vAlign w:val="center"/>
          </w:tcPr>
          <w:p>
            <w:pPr>
              <w:rPr>
                <w:rFonts w:hAnsi="宋体" w:cs="宋体"/>
                <w:b/>
                <w:color w:val="auto"/>
                <w:sz w:val="24"/>
                <w:highlight w:val="none"/>
              </w:rPr>
            </w:pPr>
          </w:p>
        </w:tc>
        <w:tc>
          <w:tcPr>
            <w:tcW w:w="5534" w:type="dxa"/>
          </w:tcPr>
          <w:p>
            <w:pPr>
              <w:pStyle w:val="104"/>
              <w:rPr>
                <w:rFonts w:ascii="宋体" w:hAnsi="宋体" w:cs="宋体"/>
                <w:color w:val="auto"/>
                <w:szCs w:val="24"/>
                <w:highlight w:val="none"/>
              </w:rPr>
            </w:pPr>
            <w:r>
              <w:rPr>
                <w:rFonts w:hint="eastAsia" w:ascii="宋体" w:hAnsi="宋体" w:cs="宋体"/>
                <w:color w:val="auto"/>
                <w:szCs w:val="24"/>
                <w:highlight w:val="none"/>
              </w:rPr>
              <w:t>拟派常驻监理工程师具有信息系统监理师资格证书前提下，具有电子信息设备工程师证书、信息系统测评高级工程师证书的，每一个得2分，最高得4分，同一名监理人员有多本证书，同一种证书有多人的均只计一本。</w:t>
            </w:r>
          </w:p>
        </w:tc>
        <w:tc>
          <w:tcPr>
            <w:tcW w:w="907" w:type="dxa"/>
            <w:vAlign w:val="center"/>
          </w:tcPr>
          <w:p>
            <w:pPr>
              <w:pStyle w:val="104"/>
              <w:jc w:val="center"/>
              <w:rPr>
                <w:rFonts w:ascii="宋体" w:hAnsi="宋体" w:cs="宋体"/>
                <w:color w:val="auto"/>
                <w:szCs w:val="24"/>
                <w:highlight w:val="none"/>
              </w:rPr>
            </w:pPr>
            <w:r>
              <w:rPr>
                <w:rFonts w:hint="eastAsia" w:ascii="宋体" w:hAnsi="宋体" w:cs="宋体"/>
                <w:color w:val="auto"/>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7" w:type="dxa"/>
            <w:vMerge w:val="continue"/>
            <w:vAlign w:val="center"/>
          </w:tcPr>
          <w:p>
            <w:pPr>
              <w:rPr>
                <w:rFonts w:hAnsi="宋体" w:cs="宋体"/>
                <w:color w:val="auto"/>
                <w:sz w:val="24"/>
                <w:highlight w:val="none"/>
              </w:rPr>
            </w:pPr>
          </w:p>
        </w:tc>
        <w:tc>
          <w:tcPr>
            <w:tcW w:w="2252" w:type="dxa"/>
            <w:gridSpan w:val="2"/>
            <w:vMerge w:val="continue"/>
            <w:vAlign w:val="center"/>
          </w:tcPr>
          <w:p>
            <w:pPr>
              <w:rPr>
                <w:rFonts w:hAnsi="宋体" w:cs="宋体"/>
                <w:color w:val="auto"/>
                <w:sz w:val="24"/>
                <w:highlight w:val="none"/>
              </w:rPr>
            </w:pPr>
          </w:p>
        </w:tc>
        <w:tc>
          <w:tcPr>
            <w:tcW w:w="5534" w:type="dxa"/>
          </w:tcPr>
          <w:p>
            <w:pPr>
              <w:pStyle w:val="104"/>
              <w:rPr>
                <w:rFonts w:ascii="宋体" w:hAnsi="宋体" w:cs="宋体"/>
                <w:color w:val="auto"/>
                <w:szCs w:val="24"/>
                <w:highlight w:val="none"/>
              </w:rPr>
            </w:pPr>
            <w:r>
              <w:rPr>
                <w:rFonts w:hint="eastAsia" w:ascii="宋体" w:hAnsi="宋体" w:cs="宋体"/>
                <w:color w:val="auto"/>
                <w:szCs w:val="24"/>
                <w:highlight w:val="none"/>
              </w:rPr>
              <w:t>根据监理工作小组其他</w:t>
            </w:r>
            <w:r>
              <w:rPr>
                <w:rFonts w:hint="eastAsia" w:ascii="宋体" w:hAnsi="宋体" w:cs="宋体"/>
                <w:bCs/>
                <w:color w:val="auto"/>
                <w:szCs w:val="24"/>
                <w:highlight w:val="none"/>
              </w:rPr>
              <w:t>人员的情况：资格证书、技术能力、工作经验</w:t>
            </w:r>
            <w:r>
              <w:rPr>
                <w:rFonts w:hint="eastAsia" w:ascii="宋体" w:hAnsi="宋体" w:cs="宋体"/>
                <w:color w:val="auto"/>
                <w:szCs w:val="24"/>
                <w:highlight w:val="none"/>
              </w:rPr>
              <w:t>等情况进行综合评价，3-0分。</w:t>
            </w:r>
          </w:p>
        </w:tc>
        <w:tc>
          <w:tcPr>
            <w:tcW w:w="907" w:type="dxa"/>
            <w:vAlign w:val="center"/>
          </w:tcPr>
          <w:p>
            <w:pPr>
              <w:pStyle w:val="104"/>
              <w:jc w:val="center"/>
              <w:rPr>
                <w:rFonts w:ascii="宋体" w:hAnsi="宋体" w:cs="宋体"/>
                <w:color w:val="auto"/>
                <w:szCs w:val="24"/>
                <w:highlight w:val="none"/>
              </w:rPr>
            </w:pPr>
            <w:r>
              <w:rPr>
                <w:rFonts w:hint="eastAsia" w:ascii="宋体" w:hAnsi="宋体" w:cs="宋体"/>
                <w:color w:val="auto"/>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347" w:type="dxa"/>
            <w:vAlign w:val="center"/>
          </w:tcPr>
          <w:p>
            <w:pPr>
              <w:jc w:val="center"/>
              <w:rPr>
                <w:rFonts w:hAnsi="宋体" w:cs="宋体"/>
                <w:color w:val="auto"/>
                <w:sz w:val="24"/>
                <w:highlight w:val="none"/>
              </w:rPr>
            </w:pPr>
            <w:r>
              <w:rPr>
                <w:rFonts w:hint="eastAsia" w:hAnsi="宋体" w:cs="宋体"/>
                <w:color w:val="auto"/>
                <w:sz w:val="24"/>
                <w:highlight w:val="none"/>
              </w:rPr>
              <w:t>商务报价20分</w:t>
            </w:r>
          </w:p>
        </w:tc>
        <w:tc>
          <w:tcPr>
            <w:tcW w:w="7786" w:type="dxa"/>
            <w:gridSpan w:val="3"/>
            <w:vAlign w:val="center"/>
          </w:tcPr>
          <w:p>
            <w:pPr>
              <w:rPr>
                <w:rFonts w:hAnsi="宋体" w:cs="宋体"/>
                <w:color w:val="auto"/>
                <w:sz w:val="24"/>
                <w:highlight w:val="none"/>
              </w:rPr>
            </w:pPr>
            <w:r>
              <w:rPr>
                <w:rFonts w:hint="eastAsia" w:hAnsi="宋体" w:cs="宋体"/>
                <w:color w:val="auto"/>
                <w:sz w:val="24"/>
                <w:highlight w:val="none"/>
              </w:rPr>
              <w:t>评标基准价=</w:t>
            </w:r>
            <w:r>
              <w:rPr>
                <w:rFonts w:hint="eastAsia" w:asciiTheme="minorEastAsia" w:hAnsiTheme="minorEastAsia" w:eastAsiaTheme="minorEastAsia"/>
                <w:color w:val="auto"/>
                <w:sz w:val="24"/>
                <w:highlight w:val="none"/>
              </w:rPr>
              <w:t>满足招标文件要求且投标价格最低的投标报价为评标基准价</w:t>
            </w:r>
            <w:r>
              <w:rPr>
                <w:rFonts w:hint="eastAsia" w:hAnsi="宋体" w:cs="宋体"/>
                <w:color w:val="auto"/>
                <w:sz w:val="24"/>
                <w:highlight w:val="none"/>
              </w:rPr>
              <w:t>，基准价得分为满分。</w:t>
            </w:r>
          </w:p>
          <w:p>
            <w:pPr>
              <w:rPr>
                <w:rFonts w:hAnsi="宋体" w:cs="宋体"/>
                <w:color w:val="auto"/>
                <w:sz w:val="24"/>
                <w:highlight w:val="none"/>
              </w:rPr>
            </w:pPr>
            <w:r>
              <w:rPr>
                <w:rFonts w:hint="eastAsia" w:hAnsi="宋体" w:cs="宋体"/>
                <w:color w:val="auto"/>
                <w:sz w:val="24"/>
                <w:highlight w:val="none"/>
              </w:rPr>
              <w:t>投标报价得分=(评标基准价/投标报价)×20%×100</w:t>
            </w:r>
          </w:p>
          <w:p>
            <w:pPr>
              <w:rPr>
                <w:rFonts w:hAnsi="宋体" w:cs="宋体"/>
                <w:snapToGrid w:val="0"/>
                <w:color w:val="auto"/>
                <w:sz w:val="24"/>
                <w:highlight w:val="none"/>
              </w:rPr>
            </w:pPr>
            <w:r>
              <w:rPr>
                <w:rFonts w:hint="eastAsia" w:hAnsi="宋体" w:cs="宋体"/>
                <w:snapToGrid w:val="0"/>
                <w:color w:val="auto"/>
                <w:sz w:val="24"/>
                <w:highlight w:val="none"/>
              </w:rPr>
              <w:t>对小型和微型企业的价格给予6%的扣除。小型和微型企业需提供《小微企业声明函》等相关证明材料。</w:t>
            </w:r>
          </w:p>
        </w:tc>
        <w:tc>
          <w:tcPr>
            <w:tcW w:w="907" w:type="dxa"/>
            <w:vAlign w:val="center"/>
          </w:tcPr>
          <w:p>
            <w:pPr>
              <w:jc w:val="center"/>
              <w:rPr>
                <w:rFonts w:hAnsi="宋体" w:cs="宋体"/>
                <w:color w:val="auto"/>
                <w:sz w:val="24"/>
                <w:highlight w:val="none"/>
              </w:rPr>
            </w:pPr>
            <w:r>
              <w:rPr>
                <w:rFonts w:hint="eastAsia" w:hAnsi="宋体" w:cs="宋体"/>
                <w:color w:val="auto"/>
                <w:sz w:val="24"/>
                <w:highlight w:val="none"/>
              </w:rPr>
              <w:t>20分</w:t>
            </w:r>
          </w:p>
        </w:tc>
      </w:tr>
    </w:tbl>
    <w:p>
      <w:pPr>
        <w:rPr>
          <w:rFonts w:ascii="宋体"/>
          <w:color w:val="auto"/>
          <w:sz w:val="24"/>
          <w:highlight w:val="none"/>
          <w:lang w:val="zh-CN"/>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0"/>
        <w:rPr>
          <w:color w:val="auto"/>
          <w:highlight w:val="none"/>
          <w:lang w:val="zh-CN"/>
        </w:rPr>
      </w:pPr>
    </w:p>
    <w:p>
      <w:pPr>
        <w:numPr>
          <w:ilvl w:val="0"/>
          <w:numId w:val="5"/>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 公开招标需求</w:t>
      </w:r>
    </w:p>
    <w:p>
      <w:pPr>
        <w:spacing w:line="300" w:lineRule="auto"/>
        <w:rPr>
          <w:rFonts w:hAnsi="宋体" w:cs="仿宋"/>
          <w:b/>
          <w:bCs/>
          <w:color w:val="auto"/>
          <w:sz w:val="24"/>
          <w:highlight w:val="none"/>
        </w:rPr>
      </w:pPr>
      <w:bookmarkStart w:id="1" w:name="_Hlk41541820"/>
      <w:r>
        <w:rPr>
          <w:rFonts w:hint="eastAsia" w:hAnsi="宋体" w:cs="仿宋"/>
          <w:b/>
          <w:bCs/>
          <w:color w:val="auto"/>
          <w:sz w:val="24"/>
          <w:highlight w:val="none"/>
        </w:rPr>
        <w:t>一、招标项目一览表：</w:t>
      </w:r>
    </w:p>
    <w:tbl>
      <w:tblPr>
        <w:tblStyle w:val="2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80"/>
        <w:gridCol w:w="1230"/>
        <w:gridCol w:w="1275"/>
        <w:gridCol w:w="149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Align w:val="center"/>
          </w:tcPr>
          <w:p>
            <w:pPr>
              <w:jc w:val="center"/>
              <w:rPr>
                <w:b/>
                <w:color w:val="auto"/>
                <w:sz w:val="24"/>
                <w:highlight w:val="none"/>
              </w:rPr>
            </w:pPr>
            <w:r>
              <w:rPr>
                <w:rFonts w:hint="eastAsia"/>
                <w:b/>
                <w:color w:val="auto"/>
                <w:sz w:val="24"/>
                <w:highlight w:val="none"/>
              </w:rPr>
              <w:t>序号</w:t>
            </w:r>
          </w:p>
        </w:tc>
        <w:tc>
          <w:tcPr>
            <w:tcW w:w="2880" w:type="dxa"/>
            <w:vAlign w:val="center"/>
          </w:tcPr>
          <w:p>
            <w:pPr>
              <w:jc w:val="center"/>
              <w:rPr>
                <w:b/>
                <w:color w:val="auto"/>
                <w:sz w:val="24"/>
                <w:highlight w:val="none"/>
              </w:rPr>
            </w:pPr>
            <w:r>
              <w:rPr>
                <w:rFonts w:hint="eastAsia"/>
                <w:b/>
                <w:color w:val="auto"/>
                <w:sz w:val="24"/>
                <w:highlight w:val="none"/>
              </w:rPr>
              <w:t>监理服务名称</w:t>
            </w:r>
          </w:p>
        </w:tc>
        <w:tc>
          <w:tcPr>
            <w:tcW w:w="1230" w:type="dxa"/>
            <w:vAlign w:val="center"/>
          </w:tcPr>
          <w:p>
            <w:pPr>
              <w:jc w:val="center"/>
              <w:rPr>
                <w:b/>
                <w:color w:val="auto"/>
                <w:sz w:val="24"/>
                <w:highlight w:val="none"/>
              </w:rPr>
            </w:pPr>
            <w:r>
              <w:rPr>
                <w:rFonts w:hint="eastAsia"/>
                <w:b/>
                <w:color w:val="auto"/>
                <w:sz w:val="24"/>
                <w:highlight w:val="none"/>
              </w:rPr>
              <w:t>监理服务需求</w:t>
            </w:r>
          </w:p>
        </w:tc>
        <w:tc>
          <w:tcPr>
            <w:tcW w:w="1275" w:type="dxa"/>
            <w:vAlign w:val="center"/>
          </w:tcPr>
          <w:p>
            <w:pPr>
              <w:jc w:val="center"/>
              <w:rPr>
                <w:b/>
                <w:color w:val="auto"/>
                <w:sz w:val="24"/>
                <w:highlight w:val="none"/>
              </w:rPr>
            </w:pPr>
            <w:r>
              <w:rPr>
                <w:rFonts w:hint="eastAsia"/>
                <w:b/>
                <w:color w:val="auto"/>
                <w:sz w:val="24"/>
                <w:highlight w:val="none"/>
              </w:rPr>
              <w:t>工期</w:t>
            </w:r>
          </w:p>
        </w:tc>
        <w:tc>
          <w:tcPr>
            <w:tcW w:w="1492" w:type="dxa"/>
            <w:vAlign w:val="center"/>
          </w:tcPr>
          <w:p>
            <w:pPr>
              <w:jc w:val="center"/>
              <w:rPr>
                <w:b/>
                <w:color w:val="auto"/>
                <w:sz w:val="24"/>
                <w:highlight w:val="none"/>
              </w:rPr>
            </w:pPr>
            <w:r>
              <w:rPr>
                <w:rFonts w:hint="eastAsia"/>
                <w:b/>
                <w:color w:val="auto"/>
                <w:sz w:val="24"/>
                <w:highlight w:val="none"/>
              </w:rPr>
              <w:t>项目地点</w:t>
            </w:r>
          </w:p>
        </w:tc>
        <w:tc>
          <w:tcPr>
            <w:tcW w:w="1106" w:type="dxa"/>
            <w:tcBorders>
              <w:bottom w:val="single" w:color="auto" w:sz="4" w:space="0"/>
            </w:tcBorders>
            <w:vAlign w:val="center"/>
          </w:tcPr>
          <w:p>
            <w:pPr>
              <w:jc w:val="center"/>
              <w:rPr>
                <w:b/>
                <w:color w:val="auto"/>
                <w:sz w:val="24"/>
                <w:highlight w:val="none"/>
              </w:rPr>
            </w:pPr>
            <w:r>
              <w:rPr>
                <w:rFonts w:hint="eastAsia"/>
                <w:b/>
                <w:color w:val="auto"/>
                <w:sz w:val="24"/>
                <w:highlight w:val="none"/>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72" w:type="dxa"/>
            <w:vAlign w:val="center"/>
          </w:tcPr>
          <w:p>
            <w:pPr>
              <w:pStyle w:val="11"/>
              <w:snapToGrid w:val="0"/>
              <w:spacing w:before="120" w:after="120"/>
              <w:jc w:val="center"/>
              <w:outlineLvl w:val="0"/>
              <w:rPr>
                <w:rFonts w:hAnsi="宋体" w:cs="仿宋_GB2312"/>
                <w:color w:val="auto"/>
                <w:sz w:val="24"/>
                <w:highlight w:val="none"/>
              </w:rPr>
            </w:pPr>
            <w:r>
              <w:rPr>
                <w:rFonts w:hint="eastAsia" w:hAnsi="宋体"/>
                <w:color w:val="auto"/>
                <w:sz w:val="24"/>
                <w:highlight w:val="none"/>
              </w:rPr>
              <w:t>1</w:t>
            </w:r>
          </w:p>
        </w:tc>
        <w:tc>
          <w:tcPr>
            <w:tcW w:w="2880" w:type="dxa"/>
            <w:vAlign w:val="center"/>
          </w:tcPr>
          <w:p>
            <w:pPr>
              <w:pStyle w:val="99"/>
              <w:jc w:val="center"/>
              <w:rPr>
                <w:rFonts w:hAnsi="宋体" w:cs="仿宋_GB2312"/>
                <w:color w:val="auto"/>
                <w:highlight w:val="none"/>
              </w:rPr>
            </w:pPr>
            <w:r>
              <w:rPr>
                <w:rFonts w:hint="eastAsia" w:ascii="宋体" w:hAnsi="宋体" w:eastAsia="宋体"/>
                <w:color w:val="auto"/>
                <w:highlight w:val="none"/>
              </w:rPr>
              <w:t>玉环市道路运输管理局公交智能化及</w:t>
            </w:r>
            <w:r>
              <w:rPr>
                <w:rFonts w:hint="eastAsia" w:ascii="宋体" w:hAnsi="宋体" w:eastAsia="宋体"/>
                <w:color w:val="auto"/>
                <w:highlight w:val="none"/>
                <w:lang w:eastAsia="zh-CN"/>
              </w:rPr>
              <w:t>出租车智能车载终端系统项目</w:t>
            </w:r>
            <w:r>
              <w:rPr>
                <w:rFonts w:hint="eastAsia" w:ascii="宋体" w:hAnsi="宋体" w:eastAsia="宋体"/>
                <w:color w:val="auto"/>
                <w:highlight w:val="none"/>
              </w:rPr>
              <w:t>监理</w:t>
            </w:r>
          </w:p>
        </w:tc>
        <w:tc>
          <w:tcPr>
            <w:tcW w:w="1230" w:type="dxa"/>
            <w:vAlign w:val="center"/>
          </w:tcPr>
          <w:p>
            <w:pPr>
              <w:pStyle w:val="99"/>
              <w:jc w:val="center"/>
              <w:rPr>
                <w:rFonts w:hAnsi="宋体" w:cs="仿宋_GB2312"/>
                <w:color w:val="auto"/>
                <w:highlight w:val="none"/>
              </w:rPr>
            </w:pPr>
            <w:r>
              <w:rPr>
                <w:rFonts w:hint="eastAsia" w:ascii="宋体" w:hAnsi="宋体" w:eastAsia="宋体"/>
                <w:color w:val="auto"/>
                <w:highlight w:val="none"/>
              </w:rPr>
              <w:t>详见具体技术需求</w:t>
            </w:r>
          </w:p>
        </w:tc>
        <w:tc>
          <w:tcPr>
            <w:tcW w:w="1275" w:type="dxa"/>
            <w:vAlign w:val="center"/>
          </w:tcPr>
          <w:p>
            <w:pPr>
              <w:pStyle w:val="99"/>
              <w:jc w:val="center"/>
              <w:rPr>
                <w:rFonts w:hAnsi="宋体" w:cs="仿宋_GB2312"/>
                <w:color w:val="auto"/>
                <w:highlight w:val="none"/>
              </w:rPr>
            </w:pPr>
            <w:r>
              <w:rPr>
                <w:rFonts w:hint="eastAsia" w:ascii="宋体" w:hAnsi="宋体" w:eastAsia="宋体"/>
                <w:color w:val="auto"/>
                <w:highlight w:val="none"/>
              </w:rPr>
              <w:t>监理服务工期随项目</w:t>
            </w:r>
            <w:r>
              <w:rPr>
                <w:rFonts w:ascii="宋体" w:hAnsi="宋体" w:eastAsia="宋体"/>
                <w:color w:val="auto"/>
                <w:highlight w:val="none"/>
              </w:rPr>
              <w:t>工期</w:t>
            </w:r>
          </w:p>
        </w:tc>
        <w:tc>
          <w:tcPr>
            <w:tcW w:w="1492" w:type="dxa"/>
            <w:vAlign w:val="center"/>
          </w:tcPr>
          <w:p>
            <w:pPr>
              <w:pStyle w:val="99"/>
              <w:jc w:val="center"/>
              <w:rPr>
                <w:rFonts w:hAnsi="宋体" w:cs="仿宋_GB2312"/>
                <w:color w:val="auto"/>
                <w:highlight w:val="none"/>
              </w:rPr>
            </w:pPr>
            <w:r>
              <w:rPr>
                <w:rFonts w:hint="eastAsia" w:ascii="宋体" w:hAnsi="宋体" w:eastAsia="宋体"/>
                <w:color w:val="auto"/>
                <w:highlight w:val="none"/>
              </w:rPr>
              <w:t>玉环市道路运输管理局</w:t>
            </w:r>
            <w:r>
              <w:rPr>
                <w:rFonts w:ascii="宋体" w:hAnsi="宋体" w:eastAsia="宋体"/>
                <w:color w:val="auto"/>
                <w:highlight w:val="none"/>
              </w:rPr>
              <w:t>指定地点</w:t>
            </w:r>
          </w:p>
        </w:tc>
        <w:tc>
          <w:tcPr>
            <w:tcW w:w="1106" w:type="dxa"/>
            <w:vAlign w:val="center"/>
          </w:tcPr>
          <w:p>
            <w:pPr>
              <w:pStyle w:val="99"/>
              <w:jc w:val="center"/>
              <w:rPr>
                <w:rFonts w:hAnsi="宋体" w:cs="仿宋_GB2312"/>
                <w:color w:val="auto"/>
                <w:highlight w:val="none"/>
              </w:rPr>
            </w:pPr>
            <w:r>
              <w:rPr>
                <w:rFonts w:hint="eastAsia" w:ascii="宋体" w:hAnsi="宋体" w:eastAsia="宋体"/>
                <w:color w:val="auto"/>
                <w:highlight w:val="none"/>
              </w:rPr>
              <w:t>337677</w:t>
            </w:r>
          </w:p>
        </w:tc>
      </w:tr>
    </w:tbl>
    <w:p>
      <w:pPr>
        <w:pStyle w:val="11"/>
        <w:spacing w:before="156" w:beforeLines="50" w:line="360" w:lineRule="auto"/>
        <w:outlineLvl w:val="0"/>
        <w:rPr>
          <w:rFonts w:hAnsi="宋体"/>
          <w:b/>
          <w:color w:val="auto"/>
          <w:sz w:val="24"/>
          <w:highlight w:val="none"/>
        </w:rPr>
      </w:pPr>
      <w:r>
        <w:rPr>
          <w:rFonts w:hint="eastAsia" w:hAnsi="宋体"/>
          <w:b/>
          <w:color w:val="auto"/>
          <w:sz w:val="24"/>
          <w:highlight w:val="none"/>
        </w:rPr>
        <w:t>二、具体技术需求</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玉环市道路运输管理局公交智能化及</w:t>
      </w:r>
      <w:r>
        <w:rPr>
          <w:rFonts w:hint="eastAsia" w:ascii="宋体" w:hAnsi="宋体" w:cs="宋体"/>
          <w:color w:val="auto"/>
          <w:sz w:val="24"/>
          <w:szCs w:val="24"/>
          <w:highlight w:val="none"/>
          <w:lang w:eastAsia="zh-CN"/>
        </w:rPr>
        <w:t>出租车智能车载终端系统项目</w:t>
      </w:r>
      <w:r>
        <w:rPr>
          <w:rFonts w:hint="eastAsia" w:ascii="宋体" w:hAnsi="宋体" w:cs="宋体"/>
          <w:color w:val="auto"/>
          <w:sz w:val="24"/>
          <w:szCs w:val="24"/>
          <w:highlight w:val="none"/>
        </w:rPr>
        <w:t>监理服务整体要求：</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要遵循国家、省、市信息项目建设监理有关文件及规范等的要求并根据项目建设的指导思想、建设原则，围绕总体建设目标和主要任务，协助业主单位做好项目监理工作，完善项目的建设方案设计、协助业主单位进行项目建设的招标工作，负责整个项目的全程监理，对项目的质量、进度和投资等进行全面的控制，对项目合同的执行、项目文档资料等进行管理，从而使本项目顺利完成预定目标，实现设计功能，保障各项建设任务的按期完成。</w:t>
      </w:r>
    </w:p>
    <w:p>
      <w:pPr>
        <w:pStyle w:val="105"/>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2.1）监理项目建设内容</w:t>
      </w:r>
    </w:p>
    <w:p>
      <w:pPr>
        <w:pStyle w:val="105"/>
        <w:spacing w:line="360" w:lineRule="auto"/>
        <w:ind w:firstLine="480"/>
        <w:rPr>
          <w:rFonts w:ascii="宋体" w:hAnsi="宋体" w:cs="宋体"/>
          <w:b/>
          <w:color w:val="auto"/>
          <w:sz w:val="24"/>
          <w:szCs w:val="24"/>
          <w:highlight w:val="none"/>
        </w:rPr>
      </w:pPr>
      <w:r>
        <w:rPr>
          <w:rFonts w:hint="eastAsia" w:ascii="宋体" w:hAnsi="宋体" w:cs="宋体"/>
          <w:color w:val="auto"/>
          <w:sz w:val="24"/>
          <w:szCs w:val="24"/>
          <w:highlight w:val="none"/>
        </w:rPr>
        <w:t>共有两个子项，分别为：</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（1）玉环市出粗车智能车载终端</w:t>
      </w:r>
      <w:r>
        <w:rPr>
          <w:rFonts w:hint="eastAsia" w:ascii="宋体" w:hAnsi="宋体" w:cs="宋体"/>
          <w:color w:val="auto"/>
          <w:sz w:val="24"/>
          <w:szCs w:val="24"/>
          <w:highlight w:val="none"/>
          <w:lang w:eastAsia="zh-CN"/>
        </w:rPr>
        <w:t>系统</w:t>
      </w:r>
      <w:r>
        <w:rPr>
          <w:rFonts w:hint="eastAsia" w:ascii="宋体" w:hAnsi="宋体" w:cs="宋体"/>
          <w:color w:val="auto"/>
          <w:sz w:val="24"/>
          <w:szCs w:val="24"/>
          <w:highlight w:val="none"/>
        </w:rPr>
        <w:t>项目：</w:t>
      </w:r>
      <w:bookmarkStart w:id="2" w:name="_Hlk40336291"/>
      <w:r>
        <w:rPr>
          <w:rFonts w:hint="eastAsia" w:ascii="宋体" w:hAnsi="宋体" w:cs="宋体"/>
          <w:color w:val="auto"/>
          <w:sz w:val="24"/>
          <w:szCs w:val="24"/>
          <w:highlight w:val="none"/>
        </w:rPr>
        <w:t>建设嵌入式一体化的4G智能车载终端</w:t>
      </w:r>
      <w:bookmarkEnd w:id="2"/>
      <w:r>
        <w:rPr>
          <w:rFonts w:hint="eastAsia" w:ascii="宋体" w:hAnsi="宋体" w:cs="宋体"/>
          <w:color w:val="auto"/>
          <w:sz w:val="24"/>
          <w:szCs w:val="24"/>
          <w:highlight w:val="none"/>
        </w:rPr>
        <w:t>，含配套的</w:t>
      </w:r>
      <w:bookmarkStart w:id="3" w:name="_Hlk40421908"/>
      <w:r>
        <w:rPr>
          <w:rFonts w:hint="eastAsia" w:ascii="宋体" w:hAnsi="宋体" w:cs="宋体"/>
          <w:color w:val="auto"/>
          <w:sz w:val="24"/>
          <w:szCs w:val="24"/>
          <w:highlight w:val="none"/>
        </w:rPr>
        <w:t>车载终端</w:t>
      </w:r>
      <w:bookmarkEnd w:id="3"/>
      <w:r>
        <w:rPr>
          <w:rFonts w:hint="eastAsia" w:ascii="宋体" w:hAnsi="宋体" w:cs="宋体"/>
          <w:color w:val="auto"/>
          <w:sz w:val="24"/>
          <w:szCs w:val="24"/>
          <w:highlight w:val="none"/>
        </w:rPr>
        <w:t>3年维护服务、车载终端3年运行使用的数据流量。</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（2）玉环市公交智能化建设项目：公交智能车载设备、中心平台系统及配套相关建设内容。</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具体建设内容详见各子项的招标采购文件。</w:t>
      </w:r>
    </w:p>
    <w:p>
      <w:pPr>
        <w:pStyle w:val="105"/>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2.2）监理范围</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本次监理需协助完成玉环市道路运输管理局公交智能化及</w:t>
      </w:r>
      <w:r>
        <w:rPr>
          <w:rFonts w:hint="eastAsia" w:ascii="宋体" w:hAnsi="宋体" w:cs="宋体"/>
          <w:color w:val="auto"/>
          <w:sz w:val="24"/>
          <w:szCs w:val="24"/>
          <w:highlight w:val="none"/>
          <w:lang w:eastAsia="zh-CN"/>
        </w:rPr>
        <w:t>出租车智能车载终端系统项目</w:t>
      </w:r>
      <w:r>
        <w:rPr>
          <w:rFonts w:hint="eastAsia" w:ascii="宋体" w:hAnsi="宋体" w:cs="宋体"/>
          <w:color w:val="auto"/>
          <w:sz w:val="24"/>
          <w:szCs w:val="24"/>
          <w:highlight w:val="none"/>
        </w:rPr>
        <w:t>的</w:t>
      </w:r>
      <w:r>
        <w:rPr>
          <w:rFonts w:hint="eastAsia" w:ascii="宋体" w:hAnsi="宋体" w:cs="宋体"/>
          <w:bCs/>
          <w:color w:val="auto"/>
          <w:sz w:val="24"/>
          <w:szCs w:val="24"/>
          <w:highlight w:val="none"/>
        </w:rPr>
        <w:t>全过程</w:t>
      </w:r>
      <w:r>
        <w:rPr>
          <w:rFonts w:hint="eastAsia" w:ascii="宋体" w:hAnsi="宋体" w:cs="宋体"/>
          <w:color w:val="auto"/>
          <w:sz w:val="24"/>
          <w:szCs w:val="24"/>
          <w:highlight w:val="none"/>
        </w:rPr>
        <w:t>监理，包含项目深化设计、设备材料的到货验收、施工过程、系统调试上线、试运行、项目验收等。项目监理服务工期随项目工期，最终以实际项目建设监理时间为准。</w:t>
      </w:r>
    </w:p>
    <w:p>
      <w:pPr>
        <w:pStyle w:val="105"/>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2.3）监理服务要求</w:t>
      </w:r>
    </w:p>
    <w:p>
      <w:pPr>
        <w:pStyle w:val="105"/>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一)、监理内容要求</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按照“三控制、两管理、一协调”的原则，保证各个项目在规定的时间内完成，并实现项目建设的目标。具体内容包括：</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为更好地保证项目在质量、进度、成本等方面达到预期目标，从而对本项目实施监理，通过第三方机构的公平管理和组织协调，加强质量控制、进度控制、投资控制、系统安全控制、知识产权保护控制，加强系统建设的合同和信息管理，来实现对系统建设全过程的监督管理。主要监理需求如下：</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监理单位要按照项目建设目标和要求，遵循国家、省信息系统工程建设监理的有关文件及规范等的要求，采用先进、科学和适合本工程特点的项目管理技巧，对项目的各个层面进行全方位的管理、控制和协调，对建设、开发、设备和技术培训等方面的质量、进度等进行全面的控制，对工程建设合同的执行、工程建设文档资料等进行管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监理工作的主要内容及工作目标将在项目前期咨询立项、招投标、设计、实施、验收等各阶段进行。监理单位应根据项目的具体情况，制定各个阶段详细的监理工作目标、监理工作依据、监理工作制度，监理工作内容主要应包括：</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（1）协助业主单位做好项目需求论证确立、方案设计、招标文件制作、施工单位招标等前期工作</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（2）协助合同谈判和设备采购</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（3）施工质量与进度控制 </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（4）合同管理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（5）总集成质量控制</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（6）项目验收与技术培训检查</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（7）技术文档管理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（8）系统安全管理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（9）知识产权管理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（10）协调</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（11）质保期售后服务监督保障</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监理工作应分为规划设计、招标、项目实施、验收评估和质保期五个阶段，对项目全过程进行监理。监理单位应按照项目建设目标和要求，督促项目承建单位按时保质完成项目的建设工作。</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监理各阶段主要目标：</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(1)项目方案设计阶段的主要监理目标</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按照相关的法律、法规、标准和合同要求，针对项目需求制定具有可验证性的项目计划、监理方案；</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协助业主单位督促承建单位对项目需求和技术方案进行规范化的技术描述，提供优化的设计方案，消除设计文档在进入项目实施前可预见的缺陷。</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(2)招标阶段的主要监理目标</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协助业主单位确定项目需求和建设目标；</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协助业主单位准备招标相关的一切准备工作；</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协助承建合同的签订在技术、经济上合理有效。</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(3)项目实施阶段的主要监理目标</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审核项目实施计划，合理控制项目进度；</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审核项目实施方案符合项目质量要求，与优化设计相符合；</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监督项目中标承建单位所使用的产品和服务符合承建合同及国家相关法律、法规和标准；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监督项目实施过程与项目需求、项目设计方案、项目计划相符，确保项目质量。</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(4)项目验收阶段的主要监理目标</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协助业主单位依据国家、部颁相关标准及项目需求确定项目检测方案，组织具有检测资质的专业机构对项目质量进行检测，出具检测报告；</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对系统进行试运行情况记录、测试，对问题责成承建方解决，并进行二次监测，最终提交业主单位试运行情况报告；</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促使项目的最终功能和性能符合承建合同、法律、法规和标准的要求，协助业主单位组织验收进行验收；</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审核承建单位所提供的项目各阶段形成的技术、管理文档的内容和种类符合相关标准。督促、审核项目承建单位向业主单位按时提交项目竣工验收技术资料和相关文档，主要包括以下内容：承建单位的系统详细设计方案、用户手册、系统维护手册、系统配件清单等完整的技术资料及竣工验收文档书面材料和电子版各两套；项目监理单位各阶段监理工作中形成的技术资料和相关文档。</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组织项目整体移交，报送业主单位支付项目款项的依据。</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（5）质保期阶段的主要监理目标</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技术培训的监理；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各设备、系统、软件、项目的保修和技术支持的质量监理。</w:t>
      </w:r>
    </w:p>
    <w:p>
      <w:pPr>
        <w:pStyle w:val="105"/>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二）、监理项目组成员组成及要求</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color w:val="auto"/>
          <w:sz w:val="24"/>
          <w:szCs w:val="24"/>
          <w:highlight w:val="none"/>
        </w:rPr>
        <w:t>根据本工程规模、特点，要求投标人拟投入的项目部监理机构人员不得少于5人（其中至少2人常驻业主单位现场且均持有信息系统监理师资格证书）</w:t>
      </w:r>
      <w:r>
        <w:rPr>
          <w:rFonts w:hint="eastAsia" w:ascii="宋体" w:hAnsi="宋体" w:cs="宋体"/>
          <w:color w:val="auto"/>
          <w:sz w:val="24"/>
          <w:szCs w:val="24"/>
          <w:highlight w:val="none"/>
        </w:rPr>
        <w:t>。总监理工程师、专业监理工程师，要求具有信息系统监理师资格证书，至少5年以上工作经验；现场监理员，具有至少2年的信息系统工程监理经验。当更换总监理工程师及其他监理实施人员时，应征得业主单位同意，并书面通知业主单位。</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2、总监理工程师到场率：在整个项目过程中由业主单位确认的重要项目节点必须到场。</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3、专业监理工程师：根据本工程规模及特点应配备足够的符合本工程专业需求的有一定专业水平和实践经验的专业监理工程师。专业监理工程师到位率不低于90%。</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4、在本工程监理过程中，监理人员须驻施工现场，实行现场监理。如遇重要的工程部位和隐蔽工程施工时，应当实行全过程24小时旁站监理。</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为确保项目顺利实施，招标方要求：</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监理单位必须承诺中标后成员组成人员不变并保证到场工作；合同签订后至监理项目结束期间，如监理项目驻场人员需要变更，要求新派驻人员在监理综合能力水平方面不低于原驻场人员，且取得业主单位的同意；同时驻场人员未经业主单位同意自行调整一次，业主单位有权解除监理合同并追究监理单位责任。如项目实施期间，业主单位不满意驻场监理人员工作表现，有权要求监理公司在一个星期内作出驻场人员更换。</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（2）监理工作人员在业主单位工作时，应遵守业主单位相关规章和制度；</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（3）本项目不得分包、转包；</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（4）本地具有售后服务机构或供应商承诺中标公示后在规定时间内能设立本地售后服务机构，确保项目的售后服务，需提供证明资料原件。</w:t>
      </w:r>
    </w:p>
    <w:p>
      <w:pPr>
        <w:pStyle w:val="105"/>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三）、监理服务质量要求及考核</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监理单位所有参加项目监理的人员必须得到采购人的认可。总监理工程师和监理工程师不符合投标承诺派驻要求的，采购人有权终止合同。监理单位在中标通知书领取后5个工作日内向采购人报送委派的总监理工程师及其监理机构成员名单,监理机构成员应与投标时承诺派驻的人员保持一致，如不一致的，采购人有权不签订合同。</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2、在本项目合同执行期间，监理单位应保证监理机构工作人员的稳定性。</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（一）未经采购人同意，监理单位调换总监理工程师者，业主单位有权解除监理合同并追究监理单位责任；</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（二）未经采购人同意，监理单位调换监理工程师2人次（含）以下者，每人次扣款合同金额的0.5%；调换人次达3人次（含）以上者，每人次扣款合同金额的1%。</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监理单位应做好项目质量控制，做好系统建设质量把关工作。经监理单位审查通过而建设完成内容仍存在问题的，采购人每发现一次问题的扣款1000元；隐蔽工程要及时报审，并有监理现场拍照片佐证，没有照片佐证的每道隐蔽工序每次扣款1000元。</w:t>
      </w:r>
    </w:p>
    <w:p>
      <w:pPr>
        <w:pStyle w:val="10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监理单位应做好项目进度控制。项目发生重大进度延期时，未及时发现并提出对策建议，并督促承建单位尽快采取措施的，视对项目影响程度，每项目延迟一个月（未满一个月按一个月计算）扣款1000-3000元（根据影响情况确定）。因承建单位原因造成采购人损失的，如未及时代表采购人向承建单位追讨责任和赔偿，视对项目影响程度，每项目扣款3000-5000元。</w:t>
      </w:r>
    </w:p>
    <w:p>
      <w:pPr>
        <w:spacing w:line="360" w:lineRule="auto"/>
        <w:rPr>
          <w:rFonts w:hAnsi="宋体" w:cs="仿宋_GB2312"/>
          <w:b/>
          <w:bCs/>
          <w:color w:val="auto"/>
          <w:sz w:val="24"/>
          <w:highlight w:val="none"/>
        </w:rPr>
      </w:pPr>
      <w:r>
        <w:rPr>
          <w:rFonts w:hint="eastAsia" w:hAnsi="宋体" w:cs="仿宋_GB2312"/>
          <w:b/>
          <w:bCs/>
          <w:color w:val="auto"/>
          <w:sz w:val="24"/>
          <w:highlight w:val="none"/>
        </w:rPr>
        <w:t>三、监理费报价</w:t>
      </w:r>
    </w:p>
    <w:p>
      <w:pPr>
        <w:pStyle w:val="105"/>
        <w:snapToGrid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本次监理费按中标监理费总报价一次性包死，不作任何调整（包括工程结算造价的变化）</w:t>
      </w:r>
      <w:r>
        <w:rPr>
          <w:rFonts w:hint="eastAsia" w:ascii="宋体" w:hAnsi="宋体"/>
          <w:color w:val="auto"/>
          <w:sz w:val="24"/>
          <w:szCs w:val="24"/>
          <w:highlight w:val="none"/>
        </w:rPr>
        <w:t>。</w:t>
      </w:r>
    </w:p>
    <w:p>
      <w:pPr>
        <w:pStyle w:val="105"/>
        <w:snapToGrid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2、报价按子项监理分开报价，分项报价或者总价超过预算价的为无效报价。</w:t>
      </w:r>
    </w:p>
    <w:tbl>
      <w:tblPr>
        <w:tblStyle w:val="21"/>
        <w:tblW w:w="8814" w:type="dxa"/>
        <w:jc w:val="center"/>
        <w:tblLayout w:type="fixed"/>
        <w:tblCellMar>
          <w:top w:w="0" w:type="dxa"/>
          <w:left w:w="108" w:type="dxa"/>
          <w:bottom w:w="0" w:type="dxa"/>
          <w:right w:w="108" w:type="dxa"/>
        </w:tblCellMar>
      </w:tblPr>
      <w:tblGrid>
        <w:gridCol w:w="4711"/>
        <w:gridCol w:w="2145"/>
        <w:gridCol w:w="1958"/>
      </w:tblGrid>
      <w:tr>
        <w:tblPrEx>
          <w:tblCellMar>
            <w:top w:w="0" w:type="dxa"/>
            <w:left w:w="108" w:type="dxa"/>
            <w:bottom w:w="0" w:type="dxa"/>
            <w:right w:w="108" w:type="dxa"/>
          </w:tblCellMar>
        </w:tblPrEx>
        <w:trPr>
          <w:trHeight w:val="567" w:hRule="atLeast"/>
          <w:jc w:val="center"/>
        </w:trPr>
        <w:tc>
          <w:tcPr>
            <w:tcW w:w="4711" w:type="dxa"/>
            <w:tcBorders>
              <w:top w:val="single" w:color="auto" w:sz="6" w:space="0"/>
              <w:left w:val="single" w:color="auto" w:sz="6" w:space="0"/>
              <w:bottom w:val="single" w:color="auto" w:sz="6" w:space="0"/>
              <w:right w:val="single" w:color="auto" w:sz="6" w:space="0"/>
            </w:tcBorders>
            <w:shd w:val="pct20" w:color="auto" w:fill="FFFFFF"/>
            <w:vAlign w:val="bottom"/>
          </w:tcPr>
          <w:p>
            <w:pPr>
              <w:autoSpaceDE w:val="0"/>
              <w:autoSpaceDN w:val="0"/>
              <w:adjustRightInd w:val="0"/>
              <w:snapToGrid w:val="0"/>
              <w:spacing w:line="300" w:lineRule="auto"/>
              <w:ind w:firstLine="200"/>
              <w:jc w:val="center"/>
              <w:rPr>
                <w:rFonts w:hAnsi="宋体" w:cs="黑体"/>
                <w:b/>
                <w:bCs/>
                <w:color w:val="auto"/>
                <w:sz w:val="24"/>
                <w:highlight w:val="none"/>
              </w:rPr>
            </w:pPr>
            <w:r>
              <w:rPr>
                <w:rFonts w:hint="eastAsia" w:hAnsi="宋体" w:cs="仿宋_GB2312"/>
                <w:b/>
                <w:bCs/>
                <w:color w:val="auto"/>
                <w:sz w:val="24"/>
                <w:highlight w:val="none"/>
                <w:lang w:val="zh-CN"/>
              </w:rPr>
              <w:t>子项名称</w:t>
            </w:r>
          </w:p>
        </w:tc>
        <w:tc>
          <w:tcPr>
            <w:tcW w:w="2145" w:type="dxa"/>
            <w:tcBorders>
              <w:top w:val="single" w:color="auto" w:sz="6" w:space="0"/>
              <w:left w:val="single" w:color="auto" w:sz="6" w:space="0"/>
              <w:bottom w:val="nil"/>
              <w:right w:val="single" w:color="auto" w:sz="6" w:space="0"/>
            </w:tcBorders>
            <w:shd w:val="pct20" w:color="auto" w:fill="FFFFFF"/>
            <w:vAlign w:val="bottom"/>
          </w:tcPr>
          <w:p>
            <w:pPr>
              <w:autoSpaceDE w:val="0"/>
              <w:autoSpaceDN w:val="0"/>
              <w:adjustRightInd w:val="0"/>
              <w:snapToGrid w:val="0"/>
              <w:spacing w:line="300" w:lineRule="auto"/>
              <w:rPr>
                <w:rFonts w:hAnsi="宋体" w:cs="黑体"/>
                <w:color w:val="auto"/>
                <w:sz w:val="24"/>
                <w:highlight w:val="none"/>
              </w:rPr>
            </w:pPr>
            <w:r>
              <w:rPr>
                <w:rFonts w:hint="eastAsia" w:hAnsi="宋体" w:cs="仿宋_GB2312"/>
                <w:b/>
                <w:bCs/>
                <w:color w:val="auto"/>
                <w:sz w:val="24"/>
                <w:highlight w:val="none"/>
                <w:lang w:val="zh-CN"/>
              </w:rPr>
              <w:t>监理费预算（元）</w:t>
            </w:r>
          </w:p>
        </w:tc>
        <w:tc>
          <w:tcPr>
            <w:tcW w:w="1958" w:type="dxa"/>
            <w:tcBorders>
              <w:top w:val="single" w:color="auto" w:sz="6" w:space="0"/>
              <w:left w:val="single" w:color="auto" w:sz="6" w:space="0"/>
              <w:bottom w:val="nil"/>
              <w:right w:val="single" w:color="auto" w:sz="6" w:space="0"/>
            </w:tcBorders>
            <w:shd w:val="pct20" w:color="auto" w:fill="FFFFFF"/>
            <w:vAlign w:val="bottom"/>
          </w:tcPr>
          <w:p>
            <w:pPr>
              <w:autoSpaceDE w:val="0"/>
              <w:autoSpaceDN w:val="0"/>
              <w:adjustRightInd w:val="0"/>
              <w:snapToGrid w:val="0"/>
              <w:spacing w:line="300" w:lineRule="auto"/>
              <w:jc w:val="center"/>
              <w:rPr>
                <w:rFonts w:hAnsi="宋体" w:cs="黑体"/>
                <w:color w:val="auto"/>
                <w:sz w:val="24"/>
                <w:highlight w:val="none"/>
              </w:rPr>
            </w:pPr>
            <w:r>
              <w:rPr>
                <w:rFonts w:hint="eastAsia" w:hAnsi="宋体" w:cs="仿宋_GB2312"/>
                <w:b/>
                <w:bCs/>
                <w:color w:val="auto"/>
                <w:sz w:val="24"/>
                <w:highlight w:val="none"/>
                <w:lang w:val="zh-CN"/>
              </w:rPr>
              <w:t>监理费报价（元）</w:t>
            </w:r>
          </w:p>
        </w:tc>
      </w:tr>
      <w:tr>
        <w:tblPrEx>
          <w:tblCellMar>
            <w:top w:w="0" w:type="dxa"/>
            <w:left w:w="108" w:type="dxa"/>
            <w:bottom w:w="0" w:type="dxa"/>
            <w:right w:w="108" w:type="dxa"/>
          </w:tblCellMar>
        </w:tblPrEx>
        <w:trPr>
          <w:trHeight w:val="90" w:hRule="atLeast"/>
          <w:jc w:val="center"/>
        </w:trPr>
        <w:tc>
          <w:tcPr>
            <w:tcW w:w="47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lang w:val="zh-CN"/>
              </w:rPr>
            </w:pPr>
            <w:r>
              <w:rPr>
                <w:rFonts w:hint="eastAsia" w:hAnsi="宋体" w:cs="仿宋_GB2312"/>
                <w:color w:val="auto"/>
                <w:sz w:val="24"/>
                <w:highlight w:val="none"/>
                <w:lang w:val="zh-CN"/>
              </w:rPr>
              <w:t>玉环市公交智能化建设项目监理</w:t>
            </w:r>
          </w:p>
        </w:tc>
        <w:tc>
          <w:tcPr>
            <w:tcW w:w="21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rPr>
            </w:pPr>
            <w:r>
              <w:rPr>
                <w:rFonts w:hint="eastAsia" w:hAnsi="宋体" w:cs="仿宋_GB2312"/>
                <w:color w:val="auto"/>
                <w:sz w:val="24"/>
                <w:highlight w:val="none"/>
              </w:rPr>
              <w:t>210231</w:t>
            </w:r>
          </w:p>
        </w:tc>
        <w:tc>
          <w:tcPr>
            <w:tcW w:w="19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r>
        <w:tblPrEx>
          <w:tblCellMar>
            <w:top w:w="0" w:type="dxa"/>
            <w:left w:w="108" w:type="dxa"/>
            <w:bottom w:w="0" w:type="dxa"/>
            <w:right w:w="108" w:type="dxa"/>
          </w:tblCellMar>
        </w:tblPrEx>
        <w:trPr>
          <w:trHeight w:val="567" w:hRule="atLeast"/>
          <w:jc w:val="center"/>
        </w:trPr>
        <w:tc>
          <w:tcPr>
            <w:tcW w:w="47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lang w:val="zh-CN"/>
              </w:rPr>
            </w:pPr>
            <w:r>
              <w:rPr>
                <w:rFonts w:hint="eastAsia" w:hAnsi="宋体" w:cs="仿宋_GB2312"/>
                <w:color w:val="auto"/>
                <w:sz w:val="24"/>
                <w:highlight w:val="none"/>
              </w:rPr>
              <w:t>玉环市</w:t>
            </w:r>
            <w:r>
              <w:rPr>
                <w:rFonts w:hint="eastAsia" w:hAnsi="宋体" w:cs="仿宋_GB2312"/>
                <w:color w:val="auto"/>
                <w:sz w:val="24"/>
                <w:highlight w:val="none"/>
                <w:lang w:eastAsia="zh-CN"/>
              </w:rPr>
              <w:t>出租车智能车载终端系统项目</w:t>
            </w:r>
            <w:r>
              <w:rPr>
                <w:rFonts w:hint="eastAsia" w:hAnsi="宋体" w:cs="仿宋_GB2312"/>
                <w:color w:val="auto"/>
                <w:sz w:val="24"/>
                <w:highlight w:val="none"/>
              </w:rPr>
              <w:t>监理</w:t>
            </w:r>
          </w:p>
        </w:tc>
        <w:tc>
          <w:tcPr>
            <w:tcW w:w="21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rPr>
            </w:pPr>
            <w:r>
              <w:rPr>
                <w:rFonts w:hint="eastAsia" w:hAnsi="宋体" w:cs="仿宋_GB2312"/>
                <w:color w:val="auto"/>
                <w:sz w:val="24"/>
                <w:highlight w:val="none"/>
              </w:rPr>
              <w:t>127446</w:t>
            </w:r>
          </w:p>
        </w:tc>
        <w:tc>
          <w:tcPr>
            <w:tcW w:w="19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r>
        <w:tblPrEx>
          <w:tblCellMar>
            <w:top w:w="0" w:type="dxa"/>
            <w:left w:w="108" w:type="dxa"/>
            <w:bottom w:w="0" w:type="dxa"/>
            <w:right w:w="108" w:type="dxa"/>
          </w:tblCellMar>
        </w:tblPrEx>
        <w:trPr>
          <w:trHeight w:val="567" w:hRule="atLeast"/>
          <w:jc w:val="center"/>
        </w:trPr>
        <w:tc>
          <w:tcPr>
            <w:tcW w:w="47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rPr>
            </w:pPr>
            <w:r>
              <w:rPr>
                <w:rFonts w:hint="eastAsia" w:hAnsi="宋体" w:cs="仿宋_GB2312"/>
                <w:color w:val="auto"/>
                <w:sz w:val="24"/>
                <w:highlight w:val="none"/>
              </w:rPr>
              <w:t>总价</w:t>
            </w:r>
          </w:p>
        </w:tc>
        <w:tc>
          <w:tcPr>
            <w:tcW w:w="21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rPr>
            </w:pPr>
            <w:r>
              <w:rPr>
                <w:rFonts w:hint="eastAsia" w:hAnsi="宋体" w:cs="仿宋_GB2312"/>
                <w:color w:val="auto"/>
                <w:sz w:val="24"/>
                <w:highlight w:val="none"/>
              </w:rPr>
              <w:t>337677</w:t>
            </w:r>
          </w:p>
        </w:tc>
        <w:tc>
          <w:tcPr>
            <w:tcW w:w="19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bl>
    <w:p>
      <w:pPr>
        <w:pStyle w:val="105"/>
        <w:snapToGrid w:val="0"/>
        <w:spacing w:before="156" w:beforeLines="50"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监理服务费用报价，</w:t>
      </w:r>
      <w:r>
        <w:rPr>
          <w:rStyle w:val="106"/>
          <w:rFonts w:hint="eastAsia" w:ascii="宋体" w:hAnsi="宋体"/>
          <w:color w:val="auto"/>
          <w:sz w:val="24"/>
          <w:szCs w:val="24"/>
          <w:highlight w:val="none"/>
        </w:rPr>
        <w:t>包含一切在监理过程中产生的费用（</w:t>
      </w:r>
      <w:r>
        <w:rPr>
          <w:rFonts w:ascii="宋体" w:hAnsi="宋体" w:cs="宋体"/>
          <w:color w:val="auto"/>
          <w:sz w:val="24"/>
          <w:szCs w:val="24"/>
          <w:highlight w:val="none"/>
        </w:rPr>
        <w:t>包括针对本项目投入人员工资，福利费，社保，工具耗材，交通宿食，公司管理费，利润、税金等所有费用</w:t>
      </w:r>
      <w:r>
        <w:rPr>
          <w:rFonts w:hint="eastAsia" w:ascii="宋体" w:hAnsi="宋体" w:cs="宋体"/>
          <w:color w:val="auto"/>
          <w:sz w:val="24"/>
          <w:szCs w:val="24"/>
          <w:highlight w:val="none"/>
        </w:rPr>
        <w:t>）</w:t>
      </w:r>
      <w:r>
        <w:rPr>
          <w:rFonts w:ascii="宋体" w:hAnsi="宋体" w:cs="宋体"/>
          <w:color w:val="auto"/>
          <w:sz w:val="24"/>
          <w:szCs w:val="24"/>
          <w:highlight w:val="none"/>
        </w:rPr>
        <w:t>。</w:t>
      </w:r>
    </w:p>
    <w:p>
      <w:pPr>
        <w:spacing w:line="360" w:lineRule="auto"/>
        <w:rPr>
          <w:rFonts w:hAnsi="宋体" w:cs="仿宋_GB2312"/>
          <w:b/>
          <w:bCs/>
          <w:color w:val="auto"/>
          <w:sz w:val="24"/>
          <w:highlight w:val="none"/>
        </w:rPr>
      </w:pPr>
      <w:r>
        <w:rPr>
          <w:rFonts w:hint="eastAsia" w:hAnsi="宋体" w:cs="仿宋_GB2312"/>
          <w:b/>
          <w:bCs/>
          <w:color w:val="auto"/>
          <w:sz w:val="24"/>
          <w:highlight w:val="none"/>
        </w:rPr>
        <w:t>四、监理费支付方式</w:t>
      </w:r>
    </w:p>
    <w:p>
      <w:pPr>
        <w:pStyle w:val="105"/>
        <w:snapToGrid w:val="0"/>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监理服务费按照子项进行支付。</w:t>
      </w:r>
    </w:p>
    <w:tbl>
      <w:tblPr>
        <w:tblStyle w:val="21"/>
        <w:tblW w:w="8814" w:type="dxa"/>
        <w:jc w:val="center"/>
        <w:tblLayout w:type="fixed"/>
        <w:tblCellMar>
          <w:top w:w="0" w:type="dxa"/>
          <w:left w:w="108" w:type="dxa"/>
          <w:bottom w:w="0" w:type="dxa"/>
          <w:right w:w="108" w:type="dxa"/>
        </w:tblCellMar>
      </w:tblPr>
      <w:tblGrid>
        <w:gridCol w:w="5486"/>
        <w:gridCol w:w="1559"/>
        <w:gridCol w:w="1769"/>
      </w:tblGrid>
      <w:tr>
        <w:tblPrEx>
          <w:tblCellMar>
            <w:top w:w="0" w:type="dxa"/>
            <w:left w:w="108" w:type="dxa"/>
            <w:bottom w:w="0" w:type="dxa"/>
            <w:right w:w="108" w:type="dxa"/>
          </w:tblCellMar>
        </w:tblPrEx>
        <w:trPr>
          <w:trHeight w:val="437" w:hRule="atLeast"/>
          <w:jc w:val="center"/>
        </w:trPr>
        <w:tc>
          <w:tcPr>
            <w:tcW w:w="5486" w:type="dxa"/>
            <w:tcBorders>
              <w:top w:val="single" w:color="auto" w:sz="6" w:space="0"/>
              <w:left w:val="single" w:color="auto" w:sz="6" w:space="0"/>
              <w:bottom w:val="single" w:color="auto" w:sz="6" w:space="0"/>
              <w:right w:val="single" w:color="auto" w:sz="6" w:space="0"/>
            </w:tcBorders>
            <w:shd w:val="pct20" w:color="auto" w:fill="FFFFFF"/>
            <w:vAlign w:val="bottom"/>
          </w:tcPr>
          <w:p>
            <w:pPr>
              <w:autoSpaceDE w:val="0"/>
              <w:autoSpaceDN w:val="0"/>
              <w:adjustRightInd w:val="0"/>
              <w:snapToGrid w:val="0"/>
              <w:spacing w:line="300" w:lineRule="auto"/>
              <w:ind w:firstLine="200"/>
              <w:jc w:val="center"/>
              <w:rPr>
                <w:rFonts w:hAnsi="宋体" w:cs="黑体"/>
                <w:b/>
                <w:bCs/>
                <w:color w:val="auto"/>
                <w:sz w:val="24"/>
                <w:highlight w:val="none"/>
              </w:rPr>
            </w:pPr>
            <w:r>
              <w:rPr>
                <w:rFonts w:hint="eastAsia" w:hAnsi="宋体" w:cs="仿宋_GB2312"/>
                <w:b/>
                <w:bCs/>
                <w:color w:val="auto"/>
                <w:sz w:val="24"/>
                <w:highlight w:val="none"/>
                <w:lang w:val="zh-CN"/>
              </w:rPr>
              <w:t>付 款 阶 段</w:t>
            </w:r>
          </w:p>
        </w:tc>
        <w:tc>
          <w:tcPr>
            <w:tcW w:w="1559" w:type="dxa"/>
            <w:tcBorders>
              <w:top w:val="single" w:color="auto" w:sz="6" w:space="0"/>
              <w:left w:val="single" w:color="auto" w:sz="6" w:space="0"/>
              <w:bottom w:val="nil"/>
              <w:right w:val="single" w:color="auto" w:sz="6" w:space="0"/>
            </w:tcBorders>
            <w:shd w:val="pct20" w:color="auto" w:fill="FFFFFF"/>
            <w:vAlign w:val="bottom"/>
          </w:tcPr>
          <w:p>
            <w:pPr>
              <w:autoSpaceDE w:val="0"/>
              <w:autoSpaceDN w:val="0"/>
              <w:adjustRightInd w:val="0"/>
              <w:snapToGrid w:val="0"/>
              <w:spacing w:line="300" w:lineRule="auto"/>
              <w:rPr>
                <w:rFonts w:hAnsi="宋体" w:cs="黑体"/>
                <w:color w:val="auto"/>
                <w:sz w:val="24"/>
                <w:highlight w:val="none"/>
              </w:rPr>
            </w:pPr>
            <w:r>
              <w:rPr>
                <w:rFonts w:hint="eastAsia" w:hAnsi="宋体" w:cs="仿宋_GB2312"/>
                <w:b/>
                <w:bCs/>
                <w:color w:val="auto"/>
                <w:sz w:val="24"/>
                <w:highlight w:val="none"/>
                <w:lang w:val="zh-CN"/>
              </w:rPr>
              <w:t>监理费比例</w:t>
            </w:r>
          </w:p>
        </w:tc>
        <w:tc>
          <w:tcPr>
            <w:tcW w:w="1769" w:type="dxa"/>
            <w:tcBorders>
              <w:top w:val="single" w:color="auto" w:sz="6" w:space="0"/>
              <w:left w:val="single" w:color="auto" w:sz="6" w:space="0"/>
              <w:bottom w:val="nil"/>
              <w:right w:val="single" w:color="auto" w:sz="6" w:space="0"/>
            </w:tcBorders>
            <w:shd w:val="pct20" w:color="auto" w:fill="FFFFFF"/>
            <w:vAlign w:val="bottom"/>
          </w:tcPr>
          <w:p>
            <w:pPr>
              <w:autoSpaceDE w:val="0"/>
              <w:autoSpaceDN w:val="0"/>
              <w:adjustRightInd w:val="0"/>
              <w:snapToGrid w:val="0"/>
              <w:spacing w:line="300" w:lineRule="auto"/>
              <w:jc w:val="center"/>
              <w:rPr>
                <w:rFonts w:hAnsi="宋体" w:cs="黑体"/>
                <w:color w:val="auto"/>
                <w:sz w:val="24"/>
                <w:highlight w:val="none"/>
              </w:rPr>
            </w:pPr>
            <w:r>
              <w:rPr>
                <w:rFonts w:hint="eastAsia" w:hAnsi="宋体" w:cs="仿宋_GB2312"/>
                <w:b/>
                <w:bCs/>
                <w:color w:val="auto"/>
                <w:sz w:val="24"/>
                <w:highlight w:val="none"/>
                <w:lang w:val="zh-CN"/>
              </w:rPr>
              <w:t>金额（元）</w:t>
            </w:r>
          </w:p>
        </w:tc>
      </w:tr>
      <w:tr>
        <w:tblPrEx>
          <w:tblCellMar>
            <w:top w:w="0" w:type="dxa"/>
            <w:left w:w="108" w:type="dxa"/>
            <w:bottom w:w="0" w:type="dxa"/>
            <w:right w:w="108" w:type="dxa"/>
          </w:tblCellMar>
        </w:tblPrEx>
        <w:trPr>
          <w:trHeight w:val="65" w:hRule="atLeast"/>
          <w:jc w:val="center"/>
        </w:trPr>
        <w:tc>
          <w:tcPr>
            <w:tcW w:w="5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r>
              <w:rPr>
                <w:rFonts w:hint="eastAsia" w:hAnsi="宋体" w:cs="仿宋_GB2312"/>
                <w:color w:val="auto"/>
                <w:sz w:val="24"/>
                <w:highlight w:val="none"/>
                <w:lang w:val="zh-CN"/>
              </w:rPr>
              <w:t>1、在监理合同签订、签发开工令</w:t>
            </w:r>
            <w:r>
              <w:rPr>
                <w:rFonts w:hint="eastAsia" w:hAnsi="宋体"/>
                <w:bCs/>
                <w:color w:val="auto"/>
                <w:sz w:val="24"/>
                <w:highlight w:val="none"/>
              </w:rPr>
              <w:t>后</w:t>
            </w:r>
            <w:r>
              <w:rPr>
                <w:rFonts w:hint="eastAsia" w:hAnsi="宋体" w:cs="仿宋_GB2312"/>
                <w:color w:val="auto"/>
                <w:sz w:val="24"/>
                <w:highlight w:val="none"/>
                <w:lang w:val="zh-CN"/>
              </w:rPr>
              <w:t>，30日内支付监理服务费用</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lang w:val="zh-CN"/>
              </w:rPr>
            </w:pPr>
            <w:r>
              <w:rPr>
                <w:rFonts w:hint="eastAsia" w:hAnsi="宋体" w:cs="仿宋_GB2312"/>
                <w:color w:val="auto"/>
                <w:sz w:val="24"/>
                <w:highlight w:val="none"/>
                <w:lang w:val="zh-CN"/>
              </w:rPr>
              <w:t>30%</w:t>
            </w:r>
          </w:p>
        </w:tc>
        <w:tc>
          <w:tcPr>
            <w:tcW w:w="1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r>
        <w:tblPrEx>
          <w:tblCellMar>
            <w:top w:w="0" w:type="dxa"/>
            <w:left w:w="108" w:type="dxa"/>
            <w:bottom w:w="0" w:type="dxa"/>
            <w:right w:w="108" w:type="dxa"/>
          </w:tblCellMar>
        </w:tblPrEx>
        <w:trPr>
          <w:trHeight w:val="65" w:hRule="atLeast"/>
          <w:jc w:val="center"/>
        </w:trPr>
        <w:tc>
          <w:tcPr>
            <w:tcW w:w="5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r>
              <w:rPr>
                <w:rFonts w:hint="eastAsia" w:hAnsi="宋体" w:cs="仿宋_GB2312"/>
                <w:color w:val="auto"/>
                <w:sz w:val="24"/>
                <w:highlight w:val="none"/>
                <w:lang w:val="zh-CN"/>
              </w:rPr>
              <w:t>2、子项玉环市公交智能化建设项目</w:t>
            </w:r>
            <w:r>
              <w:rPr>
                <w:rFonts w:hint="eastAsia" w:hAnsi="宋体" w:cs="仿宋_GB2312"/>
                <w:color w:val="auto"/>
                <w:sz w:val="24"/>
                <w:highlight w:val="none"/>
              </w:rPr>
              <w:t>/玉环市</w:t>
            </w:r>
            <w:r>
              <w:rPr>
                <w:rFonts w:hint="eastAsia" w:hAnsi="宋体" w:cs="仿宋_GB2312"/>
                <w:color w:val="auto"/>
                <w:sz w:val="24"/>
                <w:highlight w:val="none"/>
                <w:lang w:eastAsia="zh-CN"/>
              </w:rPr>
              <w:t>出租车智能车载终端系统项目</w:t>
            </w:r>
            <w:r>
              <w:rPr>
                <w:rFonts w:hint="eastAsia" w:hAnsi="宋体" w:cs="仿宋_GB2312"/>
                <w:color w:val="auto"/>
                <w:sz w:val="24"/>
                <w:highlight w:val="none"/>
                <w:lang w:val="zh-CN"/>
              </w:rPr>
              <w:t>基本</w:t>
            </w:r>
            <w:r>
              <w:rPr>
                <w:rFonts w:hint="eastAsia" w:hAnsi="宋体"/>
                <w:bCs/>
                <w:color w:val="auto"/>
                <w:sz w:val="24"/>
                <w:highlight w:val="none"/>
              </w:rPr>
              <w:t>建设完成，通过项目初验</w:t>
            </w:r>
            <w:r>
              <w:rPr>
                <w:rFonts w:hint="eastAsia" w:hAnsi="宋体" w:cs="仿宋_GB2312"/>
                <w:color w:val="auto"/>
                <w:sz w:val="24"/>
                <w:highlight w:val="none"/>
                <w:lang w:val="zh-CN"/>
              </w:rPr>
              <w:t>后，30日内支付监理服务费用。</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lang w:val="zh-CN"/>
              </w:rPr>
            </w:pPr>
            <w:r>
              <w:rPr>
                <w:rFonts w:hint="eastAsia" w:hAnsi="宋体" w:cs="仿宋_GB2312"/>
                <w:color w:val="auto"/>
                <w:sz w:val="24"/>
                <w:highlight w:val="none"/>
              </w:rPr>
              <w:t>4</w:t>
            </w:r>
            <w:r>
              <w:rPr>
                <w:rFonts w:hint="eastAsia" w:hAnsi="宋体" w:cs="仿宋_GB2312"/>
                <w:color w:val="auto"/>
                <w:sz w:val="24"/>
                <w:highlight w:val="none"/>
                <w:lang w:val="zh-CN"/>
              </w:rPr>
              <w:t>0%</w:t>
            </w:r>
          </w:p>
        </w:tc>
        <w:tc>
          <w:tcPr>
            <w:tcW w:w="1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r>
        <w:tblPrEx>
          <w:tblCellMar>
            <w:top w:w="0" w:type="dxa"/>
            <w:left w:w="108" w:type="dxa"/>
            <w:bottom w:w="0" w:type="dxa"/>
            <w:right w:w="108" w:type="dxa"/>
          </w:tblCellMar>
        </w:tblPrEx>
        <w:trPr>
          <w:trHeight w:val="65" w:hRule="atLeast"/>
          <w:jc w:val="center"/>
        </w:trPr>
        <w:tc>
          <w:tcPr>
            <w:tcW w:w="5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rPr>
            </w:pPr>
            <w:r>
              <w:rPr>
                <w:rFonts w:hint="eastAsia" w:hAnsi="宋体" w:cs="仿宋_GB2312"/>
                <w:color w:val="auto"/>
                <w:sz w:val="24"/>
                <w:highlight w:val="none"/>
              </w:rPr>
              <w:t>3、</w:t>
            </w:r>
            <w:r>
              <w:rPr>
                <w:rFonts w:hint="eastAsia" w:hAnsi="宋体" w:cs="仿宋_GB2312"/>
                <w:color w:val="auto"/>
                <w:sz w:val="24"/>
                <w:highlight w:val="none"/>
                <w:lang w:val="zh-CN"/>
              </w:rPr>
              <w:t>子项玉环市公交智能化建设项目</w:t>
            </w:r>
            <w:r>
              <w:rPr>
                <w:rFonts w:hint="eastAsia" w:hAnsi="宋体" w:cs="仿宋_GB2312"/>
                <w:color w:val="auto"/>
                <w:sz w:val="24"/>
                <w:highlight w:val="none"/>
              </w:rPr>
              <w:t>/玉环市出租车智能车载终端建设项</w:t>
            </w:r>
            <w:r>
              <w:rPr>
                <w:rFonts w:hint="eastAsia" w:hAnsi="宋体"/>
                <w:bCs/>
                <w:color w:val="auto"/>
                <w:sz w:val="24"/>
                <w:highlight w:val="none"/>
              </w:rPr>
              <w:t>建设完成，通过项目终验并</w:t>
            </w:r>
            <w:r>
              <w:rPr>
                <w:rFonts w:hint="eastAsia" w:hAnsi="宋体" w:cs="仿宋_GB2312"/>
                <w:color w:val="auto"/>
                <w:sz w:val="24"/>
                <w:highlight w:val="none"/>
                <w:lang w:val="zh-CN"/>
              </w:rPr>
              <w:t>提交所有监理资料后，30日内支付监理服务费用。</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rPr>
            </w:pPr>
            <w:r>
              <w:rPr>
                <w:rFonts w:hint="eastAsia" w:hAnsi="宋体" w:cs="仿宋_GB2312"/>
                <w:color w:val="auto"/>
                <w:sz w:val="24"/>
                <w:highlight w:val="none"/>
              </w:rPr>
              <w:t>30%</w:t>
            </w:r>
          </w:p>
        </w:tc>
        <w:tc>
          <w:tcPr>
            <w:tcW w:w="1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bl>
    <w:p>
      <w:pPr>
        <w:pStyle w:val="105"/>
        <w:spacing w:line="360" w:lineRule="auto"/>
        <w:ind w:firstLine="199" w:firstLineChars="83"/>
        <w:rPr>
          <w:rFonts w:ascii="宋体" w:hAnsi="宋体" w:cs="宋体"/>
          <w:color w:val="auto"/>
          <w:sz w:val="24"/>
          <w:szCs w:val="24"/>
          <w:highlight w:val="none"/>
        </w:rPr>
      </w:pPr>
    </w:p>
    <w:p>
      <w:pPr>
        <w:pStyle w:val="5"/>
        <w:rPr>
          <w:color w:val="auto"/>
          <w:highlight w:val="none"/>
        </w:rPr>
        <w:sectPr>
          <w:headerReference r:id="rId3" w:type="default"/>
          <w:pgSz w:w="11906" w:h="16838"/>
          <w:pgMar w:top="1440" w:right="1633" w:bottom="1440" w:left="1633" w:header="851" w:footer="992" w:gutter="0"/>
          <w:cols w:space="425" w:num="1"/>
          <w:docGrid w:type="lines" w:linePitch="312" w:charSpace="0"/>
        </w:sectPr>
      </w:pPr>
    </w:p>
    <w:p>
      <w:pPr>
        <w:pStyle w:val="5"/>
        <w:rPr>
          <w:color w:val="auto"/>
          <w:highlight w:val="none"/>
        </w:rPr>
      </w:pPr>
      <w:r>
        <w:rPr>
          <w:rFonts w:hint="eastAsia"/>
          <w:color w:val="auto"/>
          <w:highlight w:val="none"/>
        </w:rPr>
        <w:t>五、合同样本</w:t>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ascii="Calibri" w:hAnsi="Calibri"/>
          <w:b/>
          <w:color w:val="auto"/>
          <w:sz w:val="28"/>
          <w:szCs w:val="22"/>
          <w:highlight w:val="none"/>
        </w:rPr>
      </w:pPr>
      <w:r>
        <w:rPr>
          <w:rFonts w:hint="eastAsia" w:ascii="Calibri" w:hAnsi="Calibri"/>
          <w:b/>
          <w:color w:val="auto"/>
          <w:sz w:val="30"/>
          <w:szCs w:val="22"/>
          <w:highlight w:val="none"/>
        </w:rPr>
        <w:t>合同登记编号</w:t>
      </w:r>
      <w:r>
        <w:rPr>
          <w:rFonts w:hint="eastAsia" w:ascii="Calibri" w:hAnsi="Calibri"/>
          <w:b/>
          <w:color w:val="auto"/>
          <w:sz w:val="28"/>
          <w:szCs w:val="22"/>
          <w:highlight w:val="none"/>
        </w:rPr>
        <w:t>：</w:t>
      </w:r>
    </w:p>
    <w:p>
      <w:pPr>
        <w:tabs>
          <w:tab w:val="left" w:pos="1200"/>
        </w:tabs>
        <w:rPr>
          <w:rFonts w:ascii="Calibri" w:hAnsi="Calibri"/>
          <w:b/>
          <w:color w:val="auto"/>
          <w:sz w:val="28"/>
          <w:szCs w:val="22"/>
          <w:highlight w:val="none"/>
        </w:rPr>
      </w:pPr>
    </w:p>
    <w:p>
      <w:pPr>
        <w:tabs>
          <w:tab w:val="left" w:pos="1200"/>
        </w:tabs>
        <w:rPr>
          <w:rFonts w:ascii="Calibri" w:hAnsi="Calibri"/>
          <w:color w:val="auto"/>
          <w:sz w:val="10"/>
          <w:szCs w:val="22"/>
          <w:highlight w:val="none"/>
        </w:rPr>
      </w:pPr>
    </w:p>
    <w:tbl>
      <w:tblPr>
        <w:tblStyle w:val="21"/>
        <w:tblW w:w="5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r>
    </w:tbl>
    <w:p>
      <w:pPr>
        <w:tabs>
          <w:tab w:val="left" w:pos="1200"/>
        </w:tabs>
        <w:rPr>
          <w:rFonts w:ascii="Calibri" w:hAnsi="Calibri"/>
          <w:color w:val="auto"/>
          <w:sz w:val="24"/>
          <w:szCs w:val="22"/>
          <w:highlight w:val="none"/>
        </w:rPr>
      </w:pPr>
    </w:p>
    <w:p>
      <w:pPr>
        <w:tabs>
          <w:tab w:val="left" w:pos="1200"/>
        </w:tabs>
        <w:rPr>
          <w:rFonts w:ascii="Calibri" w:hAnsi="Calibri"/>
          <w:color w:val="auto"/>
          <w:sz w:val="24"/>
          <w:szCs w:val="22"/>
          <w:highlight w:val="none"/>
        </w:rPr>
      </w:pPr>
    </w:p>
    <w:p>
      <w:pPr>
        <w:tabs>
          <w:tab w:val="left" w:pos="1200"/>
        </w:tabs>
        <w:rPr>
          <w:rFonts w:ascii="Calibri" w:hAnsi="Calibri"/>
          <w:color w:val="auto"/>
          <w:sz w:val="24"/>
          <w:szCs w:val="22"/>
          <w:highlight w:val="none"/>
        </w:rPr>
      </w:pPr>
    </w:p>
    <w:p>
      <w:pPr>
        <w:tabs>
          <w:tab w:val="left" w:pos="1200"/>
        </w:tabs>
        <w:rPr>
          <w:rFonts w:ascii="Calibri" w:hAnsi="Calibri"/>
          <w:color w:val="auto"/>
          <w:sz w:val="24"/>
          <w:szCs w:val="22"/>
          <w:highlight w:val="none"/>
        </w:rPr>
      </w:pPr>
    </w:p>
    <w:p>
      <w:pPr>
        <w:tabs>
          <w:tab w:val="left" w:pos="1100"/>
        </w:tabs>
        <w:jc w:val="center"/>
        <w:rPr>
          <w:rFonts w:ascii="Calibri" w:hAnsi="Calibri"/>
          <w:b/>
          <w:color w:val="auto"/>
          <w:sz w:val="44"/>
          <w:szCs w:val="22"/>
          <w:highlight w:val="none"/>
        </w:rPr>
      </w:pPr>
      <w:r>
        <w:rPr>
          <w:rFonts w:hint="eastAsia" w:ascii="Calibri" w:hAnsi="Calibri"/>
          <w:b/>
          <w:color w:val="auto"/>
          <w:sz w:val="44"/>
          <w:szCs w:val="22"/>
          <w:highlight w:val="none"/>
        </w:rPr>
        <w:t>合  同  书</w:t>
      </w:r>
    </w:p>
    <w:p>
      <w:pPr>
        <w:tabs>
          <w:tab w:val="left" w:pos="1100"/>
        </w:tabs>
        <w:rPr>
          <w:rFonts w:ascii="Calibri" w:hAnsi="Calibri"/>
          <w:b/>
          <w:color w:val="auto"/>
          <w:sz w:val="10"/>
          <w:szCs w:val="22"/>
          <w:highlight w:val="none"/>
        </w:rPr>
      </w:pPr>
      <w:r>
        <w:rPr>
          <w:rFonts w:ascii="Calibri" w:hAnsi="Calibri"/>
          <w:b/>
          <w:color w:val="auto"/>
          <w:sz w:val="44"/>
          <w:szCs w:val="22"/>
          <w:highlight w:val="none"/>
        </w:rPr>
        <w:t xml:space="preserve">                         </w:t>
      </w:r>
    </w:p>
    <w:p>
      <w:pPr>
        <w:tabs>
          <w:tab w:val="left" w:pos="1100"/>
        </w:tabs>
        <w:rPr>
          <w:rFonts w:ascii="Calibri" w:hAnsi="Calibri"/>
          <w:color w:val="auto"/>
          <w:sz w:val="18"/>
          <w:szCs w:val="22"/>
          <w:highlight w:val="none"/>
        </w:rPr>
      </w:pPr>
      <w:r>
        <w:rPr>
          <w:rFonts w:ascii="Calibri" w:hAnsi="Calibri"/>
          <w:b/>
          <w:color w:val="auto"/>
          <w:sz w:val="28"/>
          <w:szCs w:val="22"/>
          <w:highlight w:val="none"/>
        </w:rPr>
        <w:t xml:space="preserve">                                      </w:t>
      </w:r>
      <w:r>
        <w:rPr>
          <w:rFonts w:ascii="Calibri" w:hAnsi="Calibri"/>
          <w:color w:val="auto"/>
          <w:sz w:val="24"/>
          <w:szCs w:val="22"/>
          <w:highlight w:val="none"/>
        </w:rPr>
        <w:t xml:space="preserve">                                   </w:t>
      </w:r>
    </w:p>
    <w:p>
      <w:pPr>
        <w:tabs>
          <w:tab w:val="left" w:pos="1100"/>
        </w:tabs>
        <w:spacing w:line="560" w:lineRule="exact"/>
        <w:rPr>
          <w:rFonts w:ascii="Calibri" w:hAnsi="Calibri"/>
          <w:color w:val="auto"/>
          <w:sz w:val="30"/>
          <w:szCs w:val="22"/>
          <w:highlight w:val="none"/>
        </w:rPr>
      </w:pPr>
    </w:p>
    <w:p>
      <w:pPr>
        <w:tabs>
          <w:tab w:val="left" w:pos="1100"/>
        </w:tabs>
        <w:spacing w:line="560" w:lineRule="exact"/>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项 目 名 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pStyle w:val="20"/>
        <w:rPr>
          <w:color w:val="auto"/>
          <w:highlight w:val="none"/>
        </w:rPr>
      </w:pPr>
    </w:p>
    <w:p>
      <w:pPr>
        <w:tabs>
          <w:tab w:val="left" w:pos="1100"/>
        </w:tabs>
        <w:spacing w:line="560" w:lineRule="exact"/>
        <w:ind w:firstLine="980" w:firstLineChars="350"/>
        <w:rPr>
          <w:rFonts w:ascii="宋体" w:hAnsi="宋体" w:cs="宋体"/>
          <w:color w:val="auto"/>
          <w:sz w:val="28"/>
          <w:szCs w:val="28"/>
          <w:highlight w:val="none"/>
          <w:u w:val="single"/>
        </w:rPr>
      </w:pPr>
      <w:r>
        <w:rPr>
          <w:rFonts w:hint="eastAsia" w:ascii="宋体" w:hAnsi="宋体" w:cs="宋体"/>
          <w:color w:val="auto"/>
          <w:sz w:val="28"/>
          <w:szCs w:val="28"/>
          <w:highlight w:val="none"/>
        </w:rPr>
        <w:t>项 目 地 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ind w:firstLine="980" w:firstLineChars="350"/>
        <w:rPr>
          <w:rFonts w:ascii="宋体" w:hAnsi="宋体" w:cs="宋体"/>
          <w:color w:val="auto"/>
          <w:sz w:val="28"/>
          <w:szCs w:val="28"/>
          <w:highlight w:val="none"/>
        </w:rPr>
      </w:pPr>
    </w:p>
    <w:p>
      <w:pPr>
        <w:tabs>
          <w:tab w:val="left" w:pos="1100"/>
        </w:tabs>
        <w:spacing w:line="560" w:lineRule="exact"/>
        <w:ind w:firstLine="980" w:firstLineChars="350"/>
        <w:rPr>
          <w:rFonts w:ascii="宋体" w:hAnsi="宋体" w:cs="宋体"/>
          <w:color w:val="auto"/>
          <w:sz w:val="28"/>
          <w:szCs w:val="28"/>
          <w:highlight w:val="none"/>
          <w:u w:val="single"/>
        </w:rPr>
      </w:pPr>
      <w:r>
        <w:rPr>
          <w:rFonts w:hint="eastAsia" w:ascii="宋体" w:hAnsi="宋体" w:cs="宋体"/>
          <w:color w:val="auto"/>
          <w:sz w:val="28"/>
          <w:szCs w:val="28"/>
          <w:highlight w:val="none"/>
        </w:rPr>
        <w:t>委   托  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ind w:firstLine="980" w:firstLineChars="350"/>
        <w:rPr>
          <w:rFonts w:ascii="宋体" w:hAnsi="宋体" w:cs="宋体"/>
          <w:color w:val="auto"/>
          <w:sz w:val="28"/>
          <w:szCs w:val="28"/>
          <w:highlight w:val="none"/>
        </w:rPr>
      </w:pPr>
    </w:p>
    <w:p>
      <w:pPr>
        <w:tabs>
          <w:tab w:val="left" w:pos="1100"/>
        </w:tabs>
        <w:spacing w:line="560" w:lineRule="exact"/>
        <w:ind w:firstLine="980" w:firstLineChars="350"/>
        <w:rPr>
          <w:rFonts w:ascii="宋体" w:hAnsi="宋体" w:cs="宋体"/>
          <w:color w:val="auto"/>
          <w:sz w:val="28"/>
          <w:szCs w:val="28"/>
          <w:highlight w:val="none"/>
          <w:u w:val="single"/>
        </w:rPr>
      </w:pPr>
      <w:r>
        <w:rPr>
          <w:rFonts w:hint="eastAsia" w:ascii="宋体" w:hAnsi="宋体" w:cs="宋体"/>
          <w:color w:val="auto"/>
          <w:sz w:val="28"/>
          <w:szCs w:val="28"/>
          <w:highlight w:val="none"/>
        </w:rPr>
        <w:t>被 委 托 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rPr>
          <w:rFonts w:ascii="宋体" w:hAnsi="宋体" w:cs="宋体"/>
          <w:color w:val="auto"/>
          <w:sz w:val="28"/>
          <w:szCs w:val="28"/>
          <w:highlight w:val="none"/>
        </w:rPr>
      </w:pPr>
    </w:p>
    <w:p>
      <w:pPr>
        <w:tabs>
          <w:tab w:val="left" w:pos="1100"/>
        </w:tabs>
        <w:spacing w:line="560" w:lineRule="exact"/>
        <w:ind w:firstLine="840" w:firstLineChars="300"/>
        <w:rPr>
          <w:rFonts w:ascii="宋体" w:hAnsi="宋体" w:cs="宋体"/>
          <w:color w:val="auto"/>
          <w:sz w:val="28"/>
          <w:szCs w:val="28"/>
          <w:highlight w:val="none"/>
          <w:u w:val="single"/>
        </w:rPr>
      </w:pPr>
      <w:r>
        <w:rPr>
          <w:rFonts w:hint="eastAsia" w:ascii="宋体" w:hAnsi="宋体" w:cs="宋体"/>
          <w:color w:val="auto"/>
          <w:sz w:val="28"/>
          <w:szCs w:val="28"/>
          <w:highlight w:val="none"/>
        </w:rPr>
        <w:t>签订地点：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tabs>
          <w:tab w:val="left" w:pos="1100"/>
        </w:tabs>
        <w:spacing w:line="560" w:lineRule="exact"/>
        <w:ind w:firstLine="840" w:firstLineChars="300"/>
        <w:rPr>
          <w:rFonts w:ascii="宋体" w:hAnsi="宋体" w:cs="宋体"/>
          <w:color w:val="auto"/>
          <w:sz w:val="28"/>
          <w:szCs w:val="28"/>
          <w:highlight w:val="none"/>
        </w:rPr>
      </w:pPr>
    </w:p>
    <w:p>
      <w:pPr>
        <w:tabs>
          <w:tab w:val="left" w:pos="1100"/>
        </w:tabs>
        <w:spacing w:line="56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tabs>
          <w:tab w:val="left" w:pos="1100"/>
        </w:tabs>
        <w:spacing w:line="560" w:lineRule="exact"/>
        <w:ind w:firstLine="840" w:firstLineChars="300"/>
        <w:rPr>
          <w:rFonts w:ascii="宋体" w:hAnsi="宋体" w:cs="宋体"/>
          <w:color w:val="auto"/>
          <w:sz w:val="28"/>
          <w:szCs w:val="28"/>
          <w:highlight w:val="none"/>
        </w:rPr>
      </w:pPr>
    </w:p>
    <w:p>
      <w:pPr>
        <w:tabs>
          <w:tab w:val="left" w:pos="1100"/>
        </w:tabs>
        <w:spacing w:line="560" w:lineRule="exact"/>
        <w:ind w:firstLine="840" w:firstLineChars="300"/>
        <w:rPr>
          <w:rFonts w:ascii="宋体" w:hAnsi="宋体" w:cs="宋体"/>
          <w:color w:val="auto"/>
          <w:sz w:val="30"/>
          <w:szCs w:val="22"/>
          <w:highlight w:val="none"/>
        </w:rPr>
      </w:pPr>
      <w:r>
        <w:rPr>
          <w:rFonts w:hint="eastAsia" w:ascii="宋体" w:hAnsi="宋体" w:cs="宋体"/>
          <w:color w:val="auto"/>
          <w:sz w:val="28"/>
          <w:szCs w:val="28"/>
          <w:highlight w:val="none"/>
        </w:rPr>
        <w:t>有效期限：</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日至</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napToGrid w:val="0"/>
        <w:spacing w:before="156" w:beforeLines="50" w:after="156" w:afterLines="50" w:line="400" w:lineRule="exact"/>
        <w:jc w:val="cente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服务类</w:t>
      </w:r>
    </w:p>
    <w:p>
      <w:pPr>
        <w:widowControl/>
        <w:shd w:val="clear" w:color="auto" w:fill="FFFFFF"/>
        <w:spacing w:after="150" w:line="400" w:lineRule="exact"/>
        <w:ind w:firstLine="480"/>
        <w:jc w:val="left"/>
        <w:rPr>
          <w:rFonts w:ascii="宋体" w:hAnsi="宋体"/>
          <w:color w:val="auto"/>
          <w:sz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400" w:lineRule="exact"/>
        <w:rPr>
          <w:rFonts w:hAnsi="宋体"/>
          <w:color w:val="auto"/>
          <w:sz w:val="24"/>
          <w:highlight w:val="none"/>
        </w:rPr>
      </w:pPr>
      <w:r>
        <w:rPr>
          <w:rFonts w:hAnsi="宋体"/>
          <w:color w:val="auto"/>
          <w:sz w:val="24"/>
          <w:highlight w:val="none"/>
        </w:rPr>
        <w:t>项目名称：                                     项目编号：</w:t>
      </w:r>
    </w:p>
    <w:p>
      <w:pPr>
        <w:pStyle w:val="11"/>
        <w:snapToGrid w:val="0"/>
        <w:spacing w:before="120" w:after="120" w:line="400" w:lineRule="exact"/>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1"/>
        <w:snapToGrid w:val="0"/>
        <w:spacing w:before="120" w:after="120" w:line="400" w:lineRule="exact"/>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中标供应商</w:t>
      </w:r>
      <w:r>
        <w:rPr>
          <w:rFonts w:hAnsi="宋体"/>
          <w:color w:val="auto"/>
          <w:sz w:val="24"/>
          <w:highlight w:val="none"/>
        </w:rPr>
        <w:t>）</w:t>
      </w:r>
      <w:r>
        <w:rPr>
          <w:rFonts w:hint="eastAsia" w:hAnsi="宋体"/>
          <w:color w:val="auto"/>
          <w:sz w:val="24"/>
          <w:highlight w:val="none"/>
        </w:rPr>
        <w:t xml:space="preserve">                          所在地：</w:t>
      </w:r>
    </w:p>
    <w:p>
      <w:pPr>
        <w:widowControl/>
        <w:shd w:val="clear" w:color="auto" w:fill="FFFFFF"/>
        <w:spacing w:after="150" w:line="400" w:lineRule="exact"/>
        <w:ind w:firstLine="480" w:firstLineChars="200"/>
        <w:jc w:val="left"/>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u w:val="single"/>
        </w:rPr>
        <w:t xml:space="preserve">        </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pPr>
        <w:spacing w:line="400" w:lineRule="exact"/>
        <w:rPr>
          <w:rFonts w:ascii="宋体"/>
          <w:color w:val="auto"/>
          <w:sz w:val="24"/>
          <w:highlight w:val="none"/>
          <w:lang w:val="zh-CN"/>
        </w:rPr>
      </w:pPr>
      <w:r>
        <w:rPr>
          <w:rFonts w:hint="eastAsia" w:ascii="宋体"/>
          <w:color w:val="auto"/>
          <w:sz w:val="24"/>
          <w:highlight w:val="none"/>
          <w:lang w:val="zh-CN"/>
        </w:rPr>
        <w:t xml:space="preserve">一、合同文件： </w:t>
      </w:r>
    </w:p>
    <w:p>
      <w:pPr>
        <w:spacing w:line="400" w:lineRule="exact"/>
        <w:ind w:firstLine="480" w:firstLineChars="200"/>
        <w:rPr>
          <w:rFonts w:ascii="宋体"/>
          <w:color w:val="auto"/>
          <w:sz w:val="24"/>
          <w:highlight w:val="none"/>
          <w:lang w:val="zh-CN"/>
        </w:rPr>
      </w:pPr>
      <w:r>
        <w:rPr>
          <w:rFonts w:hint="eastAsia" w:ascii="宋体"/>
          <w:color w:val="auto"/>
          <w:sz w:val="24"/>
          <w:highlight w:val="none"/>
          <w:lang w:val="zh-CN"/>
        </w:rPr>
        <w:t>1.合同条款。</w:t>
      </w:r>
    </w:p>
    <w:p>
      <w:pPr>
        <w:spacing w:line="400" w:lineRule="exact"/>
        <w:ind w:firstLine="480" w:firstLineChars="200"/>
        <w:rPr>
          <w:rFonts w:ascii="宋体"/>
          <w:color w:val="auto"/>
          <w:sz w:val="24"/>
          <w:highlight w:val="none"/>
          <w:lang w:val="zh-CN"/>
        </w:rPr>
      </w:pPr>
      <w:r>
        <w:rPr>
          <w:rFonts w:hint="eastAsia" w:ascii="宋体"/>
          <w:color w:val="auto"/>
          <w:sz w:val="24"/>
          <w:highlight w:val="none"/>
          <w:lang w:val="zh-CN"/>
        </w:rPr>
        <w:t>2.中标通知书。</w:t>
      </w:r>
    </w:p>
    <w:p>
      <w:pPr>
        <w:spacing w:line="400" w:lineRule="exact"/>
        <w:ind w:firstLine="480" w:firstLineChars="200"/>
        <w:rPr>
          <w:rFonts w:ascii="宋体"/>
          <w:color w:val="auto"/>
          <w:sz w:val="24"/>
          <w:highlight w:val="none"/>
          <w:lang w:val="zh-CN"/>
        </w:rPr>
      </w:pPr>
      <w:r>
        <w:rPr>
          <w:rFonts w:hint="eastAsia" w:ascii="宋体"/>
          <w:color w:val="auto"/>
          <w:sz w:val="24"/>
          <w:highlight w:val="none"/>
          <w:lang w:val="zh-CN"/>
        </w:rPr>
        <w:t>3.更正补充文件。</w:t>
      </w:r>
    </w:p>
    <w:p>
      <w:pPr>
        <w:spacing w:line="400" w:lineRule="exact"/>
        <w:ind w:firstLine="480" w:firstLineChars="200"/>
        <w:rPr>
          <w:rFonts w:ascii="宋体"/>
          <w:color w:val="auto"/>
          <w:sz w:val="24"/>
          <w:highlight w:val="none"/>
          <w:lang w:val="zh-CN"/>
        </w:rPr>
      </w:pPr>
      <w:r>
        <w:rPr>
          <w:rFonts w:hint="eastAsia" w:ascii="宋体"/>
          <w:color w:val="auto"/>
          <w:sz w:val="24"/>
          <w:highlight w:val="none"/>
          <w:lang w:val="zh-CN"/>
        </w:rPr>
        <w:t>4.招标文件。</w:t>
      </w:r>
    </w:p>
    <w:p>
      <w:pPr>
        <w:spacing w:line="400" w:lineRule="exact"/>
        <w:ind w:firstLine="480" w:firstLineChars="200"/>
        <w:rPr>
          <w:rFonts w:ascii="宋体"/>
          <w:color w:val="auto"/>
          <w:sz w:val="24"/>
          <w:highlight w:val="none"/>
          <w:lang w:val="zh-CN"/>
        </w:rPr>
      </w:pPr>
      <w:r>
        <w:rPr>
          <w:rFonts w:hint="eastAsia" w:ascii="宋体"/>
          <w:color w:val="auto"/>
          <w:sz w:val="24"/>
          <w:highlight w:val="none"/>
          <w:lang w:val="zh-CN"/>
        </w:rPr>
        <w:t>5.中标供应商投标文件。</w:t>
      </w:r>
    </w:p>
    <w:p>
      <w:pPr>
        <w:spacing w:line="400" w:lineRule="exact"/>
        <w:ind w:firstLine="480" w:firstLineChars="200"/>
        <w:rPr>
          <w:rFonts w:ascii="宋体"/>
          <w:color w:val="auto"/>
          <w:sz w:val="24"/>
          <w:highlight w:val="none"/>
          <w:lang w:val="zh-CN"/>
        </w:rPr>
      </w:pPr>
      <w:r>
        <w:rPr>
          <w:rFonts w:hint="eastAsia" w:ascii="宋体"/>
          <w:color w:val="auto"/>
          <w:sz w:val="24"/>
          <w:highlight w:val="none"/>
          <w:lang w:val="zh-CN"/>
        </w:rPr>
        <w:t>6.其他。</w:t>
      </w:r>
    </w:p>
    <w:p>
      <w:pPr>
        <w:pStyle w:val="11"/>
        <w:snapToGrid w:val="0"/>
        <w:spacing w:line="400" w:lineRule="exact"/>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pPr>
        <w:widowControl/>
        <w:shd w:val="clear" w:color="auto" w:fill="FFFFFF"/>
        <w:spacing w:after="150" w:line="400" w:lineRule="exact"/>
        <w:jc w:val="left"/>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pPr>
        <w:widowControl/>
        <w:shd w:val="clear" w:color="auto" w:fill="FFFFFF"/>
        <w:spacing w:after="150" w:line="400" w:lineRule="exact"/>
        <w:ind w:firstLine="480"/>
        <w:jc w:val="left"/>
        <w:rPr>
          <w:rFonts w:ascii="宋体" w:hAnsi="宋体" w:cs="Arial"/>
          <w:color w:val="auto"/>
          <w:kern w:val="0"/>
          <w:sz w:val="24"/>
          <w:highlight w:val="none"/>
        </w:rPr>
      </w:pPr>
      <w:r>
        <w:rPr>
          <w:rFonts w:ascii="宋体" w:hAnsi="宋体" w:cs="Arial"/>
          <w:color w:val="auto"/>
          <w:kern w:val="0"/>
          <w:sz w:val="24"/>
          <w:highlight w:val="none"/>
        </w:rPr>
        <w:t>（具体见项目需求）</w:t>
      </w:r>
    </w:p>
    <w:p>
      <w:pPr>
        <w:pStyle w:val="11"/>
        <w:snapToGrid w:val="0"/>
        <w:spacing w:before="120" w:after="120" w:line="400" w:lineRule="exact"/>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r>
        <w:rPr>
          <w:rFonts w:hint="eastAsia" w:hAnsi="宋体"/>
          <w:b/>
          <w:color w:val="auto"/>
          <w:sz w:val="24"/>
          <w:highlight w:val="none"/>
        </w:rPr>
        <w:t>和进度要求</w:t>
      </w:r>
    </w:p>
    <w:p>
      <w:pPr>
        <w:pStyle w:val="11"/>
        <w:snapToGrid w:val="0"/>
        <w:spacing w:before="120" w:after="120" w:line="400" w:lineRule="exact"/>
        <w:ind w:left="412" w:hanging="412" w:hangingChars="171"/>
        <w:rPr>
          <w:rFonts w:hAnsi="宋体"/>
          <w:color w:val="auto"/>
          <w:sz w:val="24"/>
          <w:highlight w:val="none"/>
        </w:rPr>
      </w:pPr>
      <w:r>
        <w:rPr>
          <w:rFonts w:hint="eastAsia" w:hAnsi="宋体"/>
          <w:b/>
          <w:bCs/>
          <w:color w:val="auto"/>
          <w:sz w:val="24"/>
          <w:highlight w:val="none"/>
        </w:rPr>
        <w:t>1、</w:t>
      </w:r>
      <w:r>
        <w:rPr>
          <w:rFonts w:hAnsi="宋体"/>
          <w:color w:val="auto"/>
          <w:sz w:val="24"/>
          <w:highlight w:val="none"/>
        </w:rPr>
        <w:t>本合同金额为（大写）：____________________________________元（￥_______________元）人民币。</w:t>
      </w:r>
    </w:p>
    <w:p>
      <w:pPr>
        <w:pStyle w:val="11"/>
        <w:snapToGrid w:val="0"/>
        <w:spacing w:before="120" w:after="120" w:line="400" w:lineRule="exact"/>
        <w:ind w:left="412" w:hanging="412" w:hangingChars="171"/>
        <w:rPr>
          <w:rFonts w:hAnsi="宋体"/>
          <w:color w:val="auto"/>
          <w:sz w:val="24"/>
          <w:highlight w:val="none"/>
        </w:rPr>
      </w:pPr>
      <w:r>
        <w:rPr>
          <w:rFonts w:hint="eastAsia" w:hAnsi="宋体"/>
          <w:b/>
          <w:color w:val="auto"/>
          <w:sz w:val="24"/>
          <w:highlight w:val="none"/>
        </w:rPr>
        <w:t>2、进度要求：随项目建设进度。</w:t>
      </w:r>
    </w:p>
    <w:p>
      <w:pPr>
        <w:widowControl/>
        <w:shd w:val="clear" w:color="auto" w:fill="FFFFFF"/>
        <w:spacing w:after="150" w:line="400" w:lineRule="exact"/>
        <w:jc w:val="left"/>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pPr>
        <w:pStyle w:val="16"/>
        <w:shd w:val="clear" w:color="auto" w:fill="FFFFFF"/>
        <w:spacing w:before="0" w:beforeAutospacing="0" w:after="150" w:afterAutospacing="0" w:line="400" w:lineRule="exact"/>
        <w:ind w:firstLine="480"/>
        <w:rPr>
          <w:rFonts w:hint="default" w:cs="Arial"/>
          <w:color w:val="auto"/>
          <w:highlight w:val="none"/>
        </w:rPr>
      </w:pPr>
      <w:r>
        <w:rPr>
          <w:rFonts w:cs="Arial"/>
          <w:color w:val="auto"/>
          <w:highlight w:val="none"/>
        </w:rPr>
        <w:t>（一）甲方责任</w:t>
      </w:r>
    </w:p>
    <w:p>
      <w:pPr>
        <w:pStyle w:val="16"/>
        <w:shd w:val="clear" w:color="auto" w:fill="FFFFFF"/>
        <w:spacing w:before="0" w:beforeAutospacing="0" w:after="150" w:afterAutospacing="0" w:line="400" w:lineRule="exact"/>
        <w:ind w:firstLine="480"/>
        <w:rPr>
          <w:rFonts w:hint="default" w:cs="Arial"/>
          <w:color w:val="auto"/>
          <w:highlight w:val="none"/>
        </w:rPr>
      </w:pPr>
      <w:r>
        <w:rPr>
          <w:rFonts w:cs="Arial"/>
          <w:color w:val="auto"/>
          <w:highlight w:val="none"/>
        </w:rPr>
        <w:t>（根据招标结果确定）</w:t>
      </w:r>
    </w:p>
    <w:p>
      <w:pPr>
        <w:pStyle w:val="16"/>
        <w:shd w:val="clear" w:color="auto" w:fill="FFFFFF"/>
        <w:spacing w:before="0" w:beforeAutospacing="0" w:after="150" w:afterAutospacing="0" w:line="400" w:lineRule="exact"/>
        <w:ind w:firstLine="480"/>
        <w:rPr>
          <w:rFonts w:hint="default" w:cs="Arial"/>
          <w:color w:val="auto"/>
          <w:highlight w:val="none"/>
        </w:rPr>
      </w:pPr>
      <w:r>
        <w:rPr>
          <w:rFonts w:cs="Arial"/>
          <w:color w:val="auto"/>
          <w:highlight w:val="none"/>
        </w:rPr>
        <w:t>（二）乙方责任</w:t>
      </w:r>
    </w:p>
    <w:p>
      <w:pPr>
        <w:pStyle w:val="16"/>
        <w:shd w:val="clear" w:color="auto" w:fill="FFFFFF"/>
        <w:spacing w:before="0" w:beforeAutospacing="0" w:after="150" w:afterAutospacing="0" w:line="400" w:lineRule="exact"/>
        <w:ind w:firstLine="480"/>
        <w:rPr>
          <w:rFonts w:hint="default" w:cs="Arial"/>
          <w:color w:val="auto"/>
          <w:highlight w:val="none"/>
        </w:rPr>
      </w:pPr>
      <w:r>
        <w:rPr>
          <w:color w:val="auto"/>
          <w:highlight w:val="none"/>
        </w:rPr>
        <w:t>（根据招标结果确定）</w:t>
      </w:r>
    </w:p>
    <w:p>
      <w:pPr>
        <w:pStyle w:val="11"/>
        <w:snapToGrid w:val="0"/>
        <w:spacing w:before="120" w:after="120" w:line="400" w:lineRule="exact"/>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pPr>
        <w:pStyle w:val="11"/>
        <w:snapToGrid w:val="0"/>
        <w:spacing w:before="120" w:after="120" w:line="400" w:lineRule="exact"/>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乙方应按招标文件规定的时间向甲方提供有关技术资料。</w:t>
      </w:r>
    </w:p>
    <w:p>
      <w:pPr>
        <w:pStyle w:val="11"/>
        <w:snapToGrid w:val="0"/>
        <w:spacing w:before="120" w:after="120" w:line="400" w:lineRule="exact"/>
        <w:ind w:left="410" w:hanging="410" w:hangingChars="171"/>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400" w:lineRule="exact"/>
        <w:ind w:left="412" w:hanging="412" w:hangingChars="171"/>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pPr>
        <w:pStyle w:val="11"/>
        <w:snapToGrid w:val="0"/>
        <w:spacing w:before="120" w:after="120" w:line="400" w:lineRule="exact"/>
        <w:ind w:left="410" w:hanging="410" w:hangingChars="171"/>
        <w:rPr>
          <w:rFonts w:hAnsi="宋体"/>
          <w:b/>
          <w:bCs/>
          <w:color w:val="auto"/>
          <w:sz w:val="24"/>
          <w:highlight w:val="none"/>
        </w:rPr>
      </w:pPr>
      <w:r>
        <w:rPr>
          <w:rFonts w:hAnsi="宋体"/>
          <w:color w:val="auto"/>
          <w:sz w:val="24"/>
          <w:highlight w:val="none"/>
        </w:rPr>
        <w:t>乙方应保证提供服务过程中不会侵犯任何第三方的知识产权。</w:t>
      </w:r>
    </w:p>
    <w:p>
      <w:pPr>
        <w:pStyle w:val="11"/>
        <w:snapToGrid w:val="0"/>
        <w:spacing w:before="120" w:after="120" w:line="400" w:lineRule="exact"/>
        <w:ind w:left="410" w:hanging="410" w:hangingChars="17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pPr>
        <w:snapToGrid w:val="0"/>
        <w:spacing w:before="156" w:beforeLines="50" w:after="156" w:afterLines="50" w:line="400" w:lineRule="exact"/>
        <w:rPr>
          <w:rFonts w:ascii="宋体" w:hAnsi="宋体"/>
          <w:b/>
          <w:color w:val="auto"/>
          <w:sz w:val="24"/>
          <w:highlight w:val="none"/>
        </w:rPr>
      </w:pPr>
      <w:r>
        <w:rPr>
          <w:rFonts w:hint="eastAsia" w:asciiTheme="minorEastAsia" w:hAnsiTheme="minorEastAsia" w:eastAsiaTheme="minorEastAsia" w:cstheme="minorEastAsia"/>
          <w:color w:val="auto"/>
          <w:sz w:val="24"/>
          <w:highlight w:val="none"/>
        </w:rPr>
        <w:t>供应商在签订合同前须交纳本项目履约保证金为合同金额的</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%（履约保证金应采用银行保函保证方式</w:t>
      </w:r>
      <w:r>
        <w:rPr>
          <w:rFonts w:hint="eastAsia" w:asciiTheme="minorEastAsia" w:hAnsiTheme="minorEastAsia" w:eastAsiaTheme="minorEastAsia" w:cstheme="minorEastAsia"/>
          <w:color w:val="auto"/>
          <w:sz w:val="24"/>
          <w:highlight w:val="none"/>
          <w:lang w:eastAsia="zh-CN"/>
        </w:rPr>
        <w:t>，</w:t>
      </w:r>
      <w:r>
        <w:rPr>
          <w:rFonts w:hint="eastAsia" w:ascii="宋体" w:hAnsi="宋体"/>
          <w:color w:val="auto"/>
          <w:sz w:val="24"/>
          <w:highlight w:val="none"/>
          <w:lang w:val="zh-CN"/>
        </w:rPr>
        <w:t>履约保证金交至采购人处，在项目</w:t>
      </w:r>
      <w:r>
        <w:rPr>
          <w:rFonts w:hint="eastAsia" w:hAnsi="宋体"/>
          <w:bCs/>
          <w:color w:val="auto"/>
          <w:sz w:val="24"/>
          <w:highlight w:val="none"/>
        </w:rPr>
        <w:t>初验合格后</w:t>
      </w:r>
      <w:r>
        <w:rPr>
          <w:rFonts w:hAnsi="宋体"/>
          <w:bCs/>
          <w:color w:val="auto"/>
          <w:sz w:val="24"/>
          <w:highlight w:val="none"/>
        </w:rPr>
        <w:t>7</w:t>
      </w:r>
      <w:r>
        <w:rPr>
          <w:rFonts w:hint="eastAsia" w:hAnsi="宋体"/>
          <w:bCs/>
          <w:color w:val="auto"/>
          <w:sz w:val="24"/>
          <w:highlight w:val="none"/>
        </w:rPr>
        <w:t>个工作日内</w:t>
      </w:r>
      <w:r>
        <w:rPr>
          <w:rFonts w:hint="eastAsia" w:ascii="宋体" w:hAnsi="宋体"/>
          <w:color w:val="auto"/>
          <w:sz w:val="24"/>
          <w:highlight w:val="none"/>
          <w:lang w:val="zh-CN"/>
        </w:rPr>
        <w:t>无息退还</w:t>
      </w:r>
      <w:r>
        <w:rPr>
          <w:rFonts w:hint="eastAsia" w:asciiTheme="minorEastAsia" w:hAnsiTheme="minorEastAsia" w:eastAsiaTheme="minorEastAsia" w:cstheme="minorEastAsia"/>
          <w:color w:val="auto"/>
          <w:sz w:val="24"/>
          <w:highlight w:val="none"/>
        </w:rPr>
        <w:t>）</w:t>
      </w:r>
    </w:p>
    <w:p>
      <w:pPr>
        <w:snapToGrid w:val="0"/>
        <w:spacing w:before="156" w:beforeLines="50" w:after="156" w:afterLines="50" w:line="400" w:lineRule="exact"/>
        <w:rPr>
          <w:rFonts w:ascii="宋体" w:hAnsi="宋体"/>
          <w:b/>
          <w:color w:val="auto"/>
          <w:sz w:val="24"/>
          <w:highlight w:val="none"/>
        </w:rPr>
      </w:pPr>
      <w:r>
        <w:rPr>
          <w:rFonts w:hint="eastAsia" w:ascii="宋体" w:hAnsi="宋体"/>
          <w:b/>
          <w:color w:val="auto"/>
          <w:sz w:val="24"/>
          <w:highlight w:val="none"/>
        </w:rPr>
        <w:t>八、转包或分包</w:t>
      </w:r>
    </w:p>
    <w:p>
      <w:pPr>
        <w:snapToGrid w:val="0"/>
        <w:spacing w:before="156" w:beforeLines="50" w:after="156" w:afterLines="50" w:line="40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napToGrid w:val="0"/>
        <w:spacing w:before="156" w:beforeLines="50" w:after="156" w:afterLines="50" w:line="40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napToGrid w:val="0"/>
        <w:spacing w:before="156" w:beforeLines="50" w:after="156" w:afterLines="50" w:line="40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pPr>
        <w:pStyle w:val="11"/>
        <w:snapToGrid w:val="0"/>
        <w:spacing w:before="120" w:after="120" w:line="400" w:lineRule="exact"/>
        <w:rPr>
          <w:rFonts w:hAnsi="宋体"/>
          <w:color w:val="auto"/>
          <w:sz w:val="24"/>
          <w:highlight w:val="none"/>
        </w:rPr>
      </w:pPr>
      <w:r>
        <w:rPr>
          <w:rFonts w:hint="eastAsia" w:hAnsi="宋体"/>
          <w:b/>
          <w:color w:val="auto"/>
          <w:sz w:val="24"/>
          <w:highlight w:val="none"/>
        </w:rPr>
        <w:t>九</w:t>
      </w:r>
      <w:r>
        <w:rPr>
          <w:rFonts w:hAnsi="宋体"/>
          <w:b/>
          <w:color w:val="auto"/>
          <w:sz w:val="24"/>
          <w:highlight w:val="none"/>
        </w:rPr>
        <w:t xml:space="preserve">、服务质量保证期 </w:t>
      </w:r>
    </w:p>
    <w:p>
      <w:pPr>
        <w:pStyle w:val="11"/>
        <w:snapToGrid w:val="0"/>
        <w:spacing w:before="120" w:after="120" w:line="400" w:lineRule="exact"/>
        <w:rPr>
          <w:rFonts w:hAnsi="宋体"/>
          <w:bCs/>
          <w:color w:val="auto"/>
          <w:sz w:val="24"/>
          <w:highlight w:val="none"/>
        </w:rPr>
      </w:pPr>
      <w:r>
        <w:rPr>
          <w:rFonts w:hint="eastAsia" w:hAnsi="宋体"/>
          <w:bCs/>
          <w:color w:val="auto"/>
          <w:sz w:val="24"/>
          <w:highlight w:val="none"/>
        </w:rPr>
        <w:t>1.服务质量保证期</w:t>
      </w:r>
      <w:r>
        <w:rPr>
          <w:rFonts w:hint="eastAsia" w:hAnsi="宋体"/>
          <w:bCs/>
          <w:color w:val="auto"/>
          <w:sz w:val="24"/>
          <w:highlight w:val="none"/>
          <w:u w:val="single"/>
        </w:rPr>
        <w:t xml:space="preserve">    </w:t>
      </w:r>
      <w:r>
        <w:rPr>
          <w:rFonts w:hint="eastAsia" w:hAnsi="宋体"/>
          <w:bCs/>
          <w:color w:val="auto"/>
          <w:sz w:val="24"/>
          <w:highlight w:val="none"/>
        </w:rPr>
        <w:t>年。</w:t>
      </w:r>
      <w:r>
        <w:rPr>
          <w:rFonts w:hAnsi="宋体"/>
          <w:bCs/>
          <w:color w:val="auto"/>
          <w:sz w:val="24"/>
          <w:highlight w:val="none"/>
        </w:rPr>
        <w:t>（根据招标结果确定）</w:t>
      </w:r>
    </w:p>
    <w:p>
      <w:pPr>
        <w:pStyle w:val="11"/>
        <w:snapToGrid w:val="0"/>
        <w:spacing w:before="120" w:after="120" w:line="400" w:lineRule="exact"/>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pPr>
        <w:pStyle w:val="11"/>
        <w:snapToGrid w:val="0"/>
        <w:spacing w:before="120" w:after="120" w:line="400" w:lineRule="exact"/>
        <w:rPr>
          <w:rFonts w:hAnsi="宋体"/>
          <w:bCs/>
          <w:color w:val="auto"/>
          <w:sz w:val="24"/>
          <w:highlight w:val="none"/>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Ansi="宋体"/>
          <w:color w:val="auto"/>
          <w:sz w:val="24"/>
          <w:highlight w:val="none"/>
        </w:rPr>
        <w:t>履行时间</w:t>
      </w:r>
      <w:r>
        <w:rPr>
          <w:rFonts w:hAnsi="宋体"/>
          <w:bCs/>
          <w:color w:val="auto"/>
          <w:sz w:val="24"/>
          <w:highlight w:val="none"/>
        </w:rPr>
        <w:t>：</w:t>
      </w:r>
    </w:p>
    <w:p>
      <w:pPr>
        <w:pStyle w:val="11"/>
        <w:snapToGrid w:val="0"/>
        <w:spacing w:before="120" w:after="120" w:line="400" w:lineRule="exact"/>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Ansi="宋体"/>
          <w:color w:val="auto"/>
          <w:sz w:val="24"/>
          <w:highlight w:val="none"/>
        </w:rPr>
        <w:t>履行方式</w:t>
      </w:r>
      <w:r>
        <w:rPr>
          <w:rFonts w:hAnsi="宋体"/>
          <w:bCs/>
          <w:color w:val="auto"/>
          <w:sz w:val="24"/>
          <w:highlight w:val="none"/>
        </w:rPr>
        <w:t>：</w:t>
      </w:r>
    </w:p>
    <w:p>
      <w:pPr>
        <w:pStyle w:val="11"/>
        <w:snapToGrid w:val="0"/>
        <w:spacing w:before="120" w:after="120" w:line="400" w:lineRule="exact"/>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Ansi="宋体"/>
          <w:color w:val="auto"/>
          <w:sz w:val="24"/>
          <w:highlight w:val="none"/>
        </w:rPr>
        <w:t>履行地点</w:t>
      </w:r>
      <w:r>
        <w:rPr>
          <w:rFonts w:hAnsi="宋体"/>
          <w:bCs/>
          <w:color w:val="auto"/>
          <w:sz w:val="24"/>
          <w:highlight w:val="none"/>
        </w:rPr>
        <w:t>：</w:t>
      </w:r>
    </w:p>
    <w:p>
      <w:pPr>
        <w:pStyle w:val="11"/>
        <w:snapToGrid w:val="0"/>
        <w:spacing w:before="120" w:after="120" w:line="400" w:lineRule="exact"/>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pPr>
        <w:pStyle w:val="11"/>
        <w:snapToGrid w:val="0"/>
        <w:spacing w:before="120" w:after="120" w:line="400" w:lineRule="exact"/>
        <w:rPr>
          <w:rFonts w:hAnsi="宋体"/>
          <w:b/>
          <w:color w:val="auto"/>
          <w:sz w:val="24"/>
          <w:highlight w:val="none"/>
        </w:rPr>
      </w:pPr>
      <w:r>
        <w:rPr>
          <w:rFonts w:hAnsi="宋体"/>
          <w:b/>
          <w:color w:val="auto"/>
          <w:sz w:val="24"/>
          <w:highlight w:val="none"/>
        </w:rPr>
        <w:t>付款方式：</w:t>
      </w:r>
    </w:p>
    <w:p>
      <w:pPr>
        <w:pStyle w:val="105"/>
        <w:snapToGrid w:val="0"/>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监理服务费按照子项进行支付。</w:t>
      </w:r>
    </w:p>
    <w:tbl>
      <w:tblPr>
        <w:tblStyle w:val="21"/>
        <w:tblW w:w="8743" w:type="dxa"/>
        <w:jc w:val="center"/>
        <w:tblLayout w:type="fixed"/>
        <w:tblCellMar>
          <w:top w:w="0" w:type="dxa"/>
          <w:left w:w="108" w:type="dxa"/>
          <w:bottom w:w="0" w:type="dxa"/>
          <w:right w:w="108" w:type="dxa"/>
        </w:tblCellMar>
      </w:tblPr>
      <w:tblGrid>
        <w:gridCol w:w="5486"/>
        <w:gridCol w:w="1559"/>
        <w:gridCol w:w="1698"/>
      </w:tblGrid>
      <w:tr>
        <w:tblPrEx>
          <w:tblCellMar>
            <w:top w:w="0" w:type="dxa"/>
            <w:left w:w="108" w:type="dxa"/>
            <w:bottom w:w="0" w:type="dxa"/>
            <w:right w:w="108" w:type="dxa"/>
          </w:tblCellMar>
        </w:tblPrEx>
        <w:trPr>
          <w:trHeight w:val="437" w:hRule="atLeast"/>
          <w:jc w:val="center"/>
        </w:trPr>
        <w:tc>
          <w:tcPr>
            <w:tcW w:w="5486" w:type="dxa"/>
            <w:tcBorders>
              <w:top w:val="single" w:color="auto" w:sz="6" w:space="0"/>
              <w:left w:val="single" w:color="auto" w:sz="6" w:space="0"/>
              <w:bottom w:val="single" w:color="auto" w:sz="6" w:space="0"/>
              <w:right w:val="single" w:color="auto" w:sz="6" w:space="0"/>
            </w:tcBorders>
            <w:shd w:val="pct20" w:color="auto" w:fill="FFFFFF"/>
            <w:vAlign w:val="bottom"/>
          </w:tcPr>
          <w:p>
            <w:pPr>
              <w:autoSpaceDE w:val="0"/>
              <w:autoSpaceDN w:val="0"/>
              <w:adjustRightInd w:val="0"/>
              <w:snapToGrid w:val="0"/>
              <w:spacing w:line="300" w:lineRule="auto"/>
              <w:ind w:firstLine="200"/>
              <w:jc w:val="center"/>
              <w:rPr>
                <w:rFonts w:hAnsi="宋体" w:cs="黑体"/>
                <w:b/>
                <w:bCs/>
                <w:color w:val="auto"/>
                <w:sz w:val="24"/>
                <w:highlight w:val="none"/>
              </w:rPr>
            </w:pPr>
            <w:r>
              <w:rPr>
                <w:rFonts w:hint="eastAsia" w:hAnsi="宋体" w:cs="仿宋_GB2312"/>
                <w:b/>
                <w:bCs/>
                <w:color w:val="auto"/>
                <w:sz w:val="24"/>
                <w:highlight w:val="none"/>
                <w:lang w:val="zh-CN"/>
              </w:rPr>
              <w:t>付 款 阶 段</w:t>
            </w:r>
          </w:p>
        </w:tc>
        <w:tc>
          <w:tcPr>
            <w:tcW w:w="1559" w:type="dxa"/>
            <w:tcBorders>
              <w:top w:val="single" w:color="auto" w:sz="6" w:space="0"/>
              <w:left w:val="single" w:color="auto" w:sz="6" w:space="0"/>
              <w:bottom w:val="nil"/>
              <w:right w:val="single" w:color="auto" w:sz="6" w:space="0"/>
            </w:tcBorders>
            <w:shd w:val="pct20" w:color="auto" w:fill="FFFFFF"/>
            <w:vAlign w:val="bottom"/>
          </w:tcPr>
          <w:p>
            <w:pPr>
              <w:autoSpaceDE w:val="0"/>
              <w:autoSpaceDN w:val="0"/>
              <w:adjustRightInd w:val="0"/>
              <w:snapToGrid w:val="0"/>
              <w:spacing w:line="300" w:lineRule="auto"/>
              <w:rPr>
                <w:rFonts w:hAnsi="宋体" w:cs="黑体"/>
                <w:color w:val="auto"/>
                <w:sz w:val="24"/>
                <w:highlight w:val="none"/>
              </w:rPr>
            </w:pPr>
            <w:r>
              <w:rPr>
                <w:rFonts w:hint="eastAsia" w:hAnsi="宋体" w:cs="仿宋_GB2312"/>
                <w:b/>
                <w:bCs/>
                <w:color w:val="auto"/>
                <w:sz w:val="24"/>
                <w:highlight w:val="none"/>
                <w:lang w:val="zh-CN"/>
              </w:rPr>
              <w:t>监理费比例</w:t>
            </w:r>
          </w:p>
        </w:tc>
        <w:tc>
          <w:tcPr>
            <w:tcW w:w="1698" w:type="dxa"/>
            <w:tcBorders>
              <w:top w:val="single" w:color="auto" w:sz="6" w:space="0"/>
              <w:left w:val="single" w:color="auto" w:sz="6" w:space="0"/>
              <w:bottom w:val="nil"/>
              <w:right w:val="single" w:color="auto" w:sz="6" w:space="0"/>
            </w:tcBorders>
            <w:shd w:val="pct20" w:color="auto" w:fill="FFFFFF"/>
            <w:vAlign w:val="bottom"/>
          </w:tcPr>
          <w:p>
            <w:pPr>
              <w:autoSpaceDE w:val="0"/>
              <w:autoSpaceDN w:val="0"/>
              <w:adjustRightInd w:val="0"/>
              <w:snapToGrid w:val="0"/>
              <w:spacing w:line="300" w:lineRule="auto"/>
              <w:jc w:val="center"/>
              <w:rPr>
                <w:rFonts w:hAnsi="宋体" w:cs="黑体"/>
                <w:color w:val="auto"/>
                <w:sz w:val="24"/>
                <w:highlight w:val="none"/>
              </w:rPr>
            </w:pPr>
            <w:r>
              <w:rPr>
                <w:rFonts w:hint="eastAsia" w:hAnsi="宋体" w:cs="仿宋_GB2312"/>
                <w:b/>
                <w:bCs/>
                <w:color w:val="auto"/>
                <w:sz w:val="24"/>
                <w:highlight w:val="none"/>
                <w:lang w:val="zh-CN"/>
              </w:rPr>
              <w:t>金额（元）</w:t>
            </w:r>
          </w:p>
        </w:tc>
      </w:tr>
      <w:tr>
        <w:tblPrEx>
          <w:tblCellMar>
            <w:top w:w="0" w:type="dxa"/>
            <w:left w:w="108" w:type="dxa"/>
            <w:bottom w:w="0" w:type="dxa"/>
            <w:right w:w="108" w:type="dxa"/>
          </w:tblCellMar>
        </w:tblPrEx>
        <w:trPr>
          <w:trHeight w:val="65" w:hRule="atLeast"/>
          <w:jc w:val="center"/>
        </w:trPr>
        <w:tc>
          <w:tcPr>
            <w:tcW w:w="5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r>
              <w:rPr>
                <w:rFonts w:hint="eastAsia" w:hAnsi="宋体" w:cs="仿宋_GB2312"/>
                <w:color w:val="auto"/>
                <w:sz w:val="24"/>
                <w:highlight w:val="none"/>
                <w:lang w:val="zh-CN"/>
              </w:rPr>
              <w:t>1、在监理合同签订</w:t>
            </w:r>
            <w:r>
              <w:rPr>
                <w:rFonts w:hint="eastAsia" w:hAnsi="宋体"/>
                <w:bCs/>
                <w:color w:val="auto"/>
                <w:sz w:val="24"/>
                <w:highlight w:val="none"/>
              </w:rPr>
              <w:t>后</w:t>
            </w:r>
            <w:r>
              <w:rPr>
                <w:rFonts w:hint="eastAsia" w:hAnsi="宋体" w:cs="仿宋_GB2312"/>
                <w:color w:val="auto"/>
                <w:sz w:val="24"/>
                <w:highlight w:val="none"/>
                <w:lang w:val="zh-CN"/>
              </w:rPr>
              <w:t>，30日内支付监理服务费用</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lang w:val="zh-CN"/>
              </w:rPr>
            </w:pPr>
            <w:r>
              <w:rPr>
                <w:rFonts w:hint="eastAsia" w:hAnsi="宋体" w:cs="仿宋_GB2312"/>
                <w:color w:val="auto"/>
                <w:sz w:val="24"/>
                <w:highlight w:val="none"/>
                <w:lang w:val="zh-CN"/>
              </w:rPr>
              <w:t>30%</w:t>
            </w:r>
          </w:p>
        </w:tc>
        <w:tc>
          <w:tcPr>
            <w:tcW w:w="1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r>
        <w:tblPrEx>
          <w:tblCellMar>
            <w:top w:w="0" w:type="dxa"/>
            <w:left w:w="108" w:type="dxa"/>
            <w:bottom w:w="0" w:type="dxa"/>
            <w:right w:w="108" w:type="dxa"/>
          </w:tblCellMar>
        </w:tblPrEx>
        <w:trPr>
          <w:trHeight w:val="65" w:hRule="atLeast"/>
          <w:jc w:val="center"/>
        </w:trPr>
        <w:tc>
          <w:tcPr>
            <w:tcW w:w="5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r>
              <w:rPr>
                <w:rFonts w:hint="eastAsia" w:hAnsi="宋体" w:cs="仿宋_GB2312"/>
                <w:color w:val="auto"/>
                <w:sz w:val="24"/>
                <w:highlight w:val="none"/>
                <w:lang w:val="zh-CN"/>
              </w:rPr>
              <w:t>2、子项玉环市公交智能化建设项目</w:t>
            </w:r>
            <w:r>
              <w:rPr>
                <w:rFonts w:hint="eastAsia" w:hAnsi="宋体" w:cs="仿宋_GB2312"/>
                <w:color w:val="auto"/>
                <w:sz w:val="24"/>
                <w:highlight w:val="none"/>
              </w:rPr>
              <w:t>/玉环市</w:t>
            </w:r>
            <w:r>
              <w:rPr>
                <w:rFonts w:hint="eastAsia" w:hAnsi="宋体" w:cs="仿宋_GB2312"/>
                <w:color w:val="auto"/>
                <w:sz w:val="24"/>
                <w:highlight w:val="none"/>
                <w:lang w:eastAsia="zh-CN"/>
              </w:rPr>
              <w:t>出租车智能车载终端系统项目</w:t>
            </w:r>
            <w:r>
              <w:rPr>
                <w:rFonts w:hint="eastAsia" w:hAnsi="宋体" w:cs="仿宋_GB2312"/>
                <w:color w:val="auto"/>
                <w:sz w:val="24"/>
                <w:highlight w:val="none"/>
                <w:lang w:val="zh-CN"/>
              </w:rPr>
              <w:t>基本</w:t>
            </w:r>
            <w:r>
              <w:rPr>
                <w:rFonts w:hint="eastAsia" w:hAnsi="宋体"/>
                <w:bCs/>
                <w:color w:val="auto"/>
                <w:sz w:val="24"/>
                <w:highlight w:val="none"/>
              </w:rPr>
              <w:t>建设完成，通过项目初验</w:t>
            </w:r>
            <w:r>
              <w:rPr>
                <w:rFonts w:hint="eastAsia" w:hAnsi="宋体" w:cs="仿宋_GB2312"/>
                <w:color w:val="auto"/>
                <w:sz w:val="24"/>
                <w:highlight w:val="none"/>
                <w:lang w:val="zh-CN"/>
              </w:rPr>
              <w:t>后，30日内支付监理服务费用。</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lang w:val="zh-CN"/>
              </w:rPr>
            </w:pPr>
            <w:r>
              <w:rPr>
                <w:rFonts w:hint="eastAsia" w:hAnsi="宋体" w:cs="仿宋_GB2312"/>
                <w:color w:val="auto"/>
                <w:sz w:val="24"/>
                <w:highlight w:val="none"/>
              </w:rPr>
              <w:t>4</w:t>
            </w:r>
            <w:r>
              <w:rPr>
                <w:rFonts w:hint="eastAsia" w:hAnsi="宋体" w:cs="仿宋_GB2312"/>
                <w:color w:val="auto"/>
                <w:sz w:val="24"/>
                <w:highlight w:val="none"/>
                <w:lang w:val="zh-CN"/>
              </w:rPr>
              <w:t>0%</w:t>
            </w:r>
          </w:p>
        </w:tc>
        <w:tc>
          <w:tcPr>
            <w:tcW w:w="1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r>
        <w:tblPrEx>
          <w:tblCellMar>
            <w:top w:w="0" w:type="dxa"/>
            <w:left w:w="108" w:type="dxa"/>
            <w:bottom w:w="0" w:type="dxa"/>
            <w:right w:w="108" w:type="dxa"/>
          </w:tblCellMar>
        </w:tblPrEx>
        <w:trPr>
          <w:trHeight w:val="65" w:hRule="atLeast"/>
          <w:jc w:val="center"/>
        </w:trPr>
        <w:tc>
          <w:tcPr>
            <w:tcW w:w="54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rPr>
            </w:pPr>
            <w:r>
              <w:rPr>
                <w:rFonts w:hint="eastAsia" w:hAnsi="宋体" w:cs="仿宋_GB2312"/>
                <w:color w:val="auto"/>
                <w:sz w:val="24"/>
                <w:highlight w:val="none"/>
              </w:rPr>
              <w:t>3、</w:t>
            </w:r>
            <w:r>
              <w:rPr>
                <w:rFonts w:hint="eastAsia" w:hAnsi="宋体" w:cs="仿宋_GB2312"/>
                <w:color w:val="auto"/>
                <w:sz w:val="24"/>
                <w:highlight w:val="none"/>
                <w:lang w:val="zh-CN"/>
              </w:rPr>
              <w:t>子项玉环市公交智能化建设项目</w:t>
            </w:r>
            <w:r>
              <w:rPr>
                <w:rFonts w:hint="eastAsia" w:hAnsi="宋体" w:cs="仿宋_GB2312"/>
                <w:color w:val="auto"/>
                <w:sz w:val="24"/>
                <w:highlight w:val="none"/>
              </w:rPr>
              <w:t>/玉环市出租车智能车载终端建设项</w:t>
            </w:r>
            <w:r>
              <w:rPr>
                <w:rFonts w:hint="eastAsia" w:hAnsi="宋体"/>
                <w:bCs/>
                <w:color w:val="auto"/>
                <w:sz w:val="24"/>
                <w:highlight w:val="none"/>
              </w:rPr>
              <w:t>建设完成，通过项目终验并</w:t>
            </w:r>
            <w:r>
              <w:rPr>
                <w:rFonts w:hint="eastAsia" w:hAnsi="宋体" w:cs="仿宋_GB2312"/>
                <w:color w:val="auto"/>
                <w:sz w:val="24"/>
                <w:highlight w:val="none"/>
                <w:lang w:val="zh-CN"/>
              </w:rPr>
              <w:t>提交所有监理资料后，30日内支付监理服务费用。</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jc w:val="center"/>
              <w:rPr>
                <w:rFonts w:hAnsi="宋体" w:cs="仿宋_GB2312"/>
                <w:color w:val="auto"/>
                <w:sz w:val="24"/>
                <w:highlight w:val="none"/>
              </w:rPr>
            </w:pPr>
            <w:r>
              <w:rPr>
                <w:rFonts w:hint="eastAsia" w:hAnsi="宋体" w:cs="仿宋_GB2312"/>
                <w:color w:val="auto"/>
                <w:sz w:val="24"/>
                <w:highlight w:val="none"/>
              </w:rPr>
              <w:t>30%</w:t>
            </w:r>
          </w:p>
        </w:tc>
        <w:tc>
          <w:tcPr>
            <w:tcW w:w="1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auto"/>
              <w:rPr>
                <w:rFonts w:hAnsi="宋体" w:cs="仿宋_GB2312"/>
                <w:color w:val="auto"/>
                <w:sz w:val="24"/>
                <w:highlight w:val="none"/>
                <w:lang w:val="zh-CN"/>
              </w:rPr>
            </w:pPr>
          </w:p>
        </w:tc>
      </w:tr>
    </w:tbl>
    <w:p>
      <w:pPr>
        <w:snapToGrid w:val="0"/>
        <w:spacing w:before="156" w:beforeLines="50" w:after="156" w:afterLines="50" w:line="400" w:lineRule="exact"/>
        <w:rPr>
          <w:rFonts w:ascii="宋体" w:hAnsi="宋体"/>
          <w:b/>
          <w:color w:val="auto"/>
          <w:sz w:val="24"/>
          <w:highlight w:val="none"/>
        </w:rPr>
      </w:pPr>
      <w:r>
        <w:rPr>
          <w:rFonts w:hint="eastAsia" w:ascii="宋体" w:hAnsi="宋体"/>
          <w:b/>
          <w:color w:val="auto"/>
          <w:sz w:val="24"/>
          <w:highlight w:val="none"/>
        </w:rPr>
        <w:t>十二、税费</w:t>
      </w:r>
    </w:p>
    <w:p>
      <w:pPr>
        <w:snapToGrid w:val="0"/>
        <w:spacing w:before="156" w:beforeLines="50" w:after="156" w:afterLines="50" w:line="400" w:lineRule="exact"/>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pStyle w:val="11"/>
        <w:snapToGrid w:val="0"/>
        <w:spacing w:before="120" w:after="120" w:line="400" w:lineRule="exact"/>
        <w:ind w:left="412" w:hanging="412" w:hangingChars="171"/>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pPr>
        <w:pStyle w:val="11"/>
        <w:snapToGrid w:val="0"/>
        <w:spacing w:before="120" w:after="120" w:line="400" w:lineRule="exact"/>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乙方应按招标文件规定向甲方提供服务。</w:t>
      </w:r>
    </w:p>
    <w:p>
      <w:pPr>
        <w:pStyle w:val="11"/>
        <w:snapToGrid w:val="0"/>
        <w:spacing w:before="120" w:after="120" w:line="400" w:lineRule="exact"/>
        <w:ind w:left="480" w:hanging="480" w:hanging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乙方提供的服务成果在服务质量保证期内发生故障，乙方应负责免费提供后续服务。对达不到要求者，根据实际情况，经双方协商，可按以下办法处理：</w:t>
      </w:r>
    </w:p>
    <w:p>
      <w:pPr>
        <w:pStyle w:val="11"/>
        <w:snapToGrid w:val="0"/>
        <w:spacing w:before="120" w:after="120" w:line="400" w:lineRule="exact"/>
        <w:ind w:firstLine="420"/>
        <w:rPr>
          <w:rFonts w:hAnsi="宋体"/>
          <w:color w:val="auto"/>
          <w:sz w:val="24"/>
          <w:highlight w:val="none"/>
        </w:rPr>
      </w:pPr>
      <w:r>
        <w:rPr>
          <w:rFonts w:hAnsi="宋体"/>
          <w:color w:val="auto"/>
          <w:sz w:val="24"/>
          <w:highlight w:val="none"/>
        </w:rPr>
        <w:t>⑴重做：由乙方承担所发生的全部费用。</w:t>
      </w:r>
    </w:p>
    <w:p>
      <w:pPr>
        <w:pStyle w:val="11"/>
        <w:snapToGrid w:val="0"/>
        <w:spacing w:before="120" w:after="120" w:line="400" w:lineRule="exact"/>
        <w:ind w:firstLine="420"/>
        <w:rPr>
          <w:rFonts w:hAnsi="宋体"/>
          <w:color w:val="auto"/>
          <w:sz w:val="24"/>
          <w:highlight w:val="none"/>
        </w:rPr>
      </w:pPr>
      <w:r>
        <w:rPr>
          <w:rFonts w:hAnsi="宋体"/>
          <w:color w:val="auto"/>
          <w:sz w:val="24"/>
          <w:highlight w:val="none"/>
        </w:rPr>
        <w:t>⑵贬值处理：由甲乙双方合议定价。</w:t>
      </w:r>
    </w:p>
    <w:p>
      <w:pPr>
        <w:pStyle w:val="11"/>
        <w:snapToGrid w:val="0"/>
        <w:spacing w:before="120" w:after="120" w:line="400" w:lineRule="exact"/>
        <w:ind w:left="420" w:leftChars="200"/>
        <w:rPr>
          <w:rFonts w:hAnsi="宋体"/>
          <w:color w:val="auto"/>
          <w:sz w:val="24"/>
          <w:highlight w:val="none"/>
        </w:rPr>
      </w:pPr>
      <w:r>
        <w:rPr>
          <w:rFonts w:hAnsi="宋体"/>
          <w:color w:val="auto"/>
          <w:sz w:val="24"/>
          <w:highlight w:val="none"/>
        </w:rPr>
        <w:t>⑶解除合同。</w:t>
      </w:r>
    </w:p>
    <w:p>
      <w:pPr>
        <w:pStyle w:val="11"/>
        <w:snapToGrid w:val="0"/>
        <w:spacing w:before="120" w:after="120" w:line="400" w:lineRule="exact"/>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 xml:space="preserve"> 如在使用过程中发生问题，乙方在接到甲方通知后</w:t>
      </w:r>
      <w:r>
        <w:rPr>
          <w:rFonts w:hAnsi="宋体"/>
          <w:color w:val="auto"/>
          <w:sz w:val="24"/>
          <w:highlight w:val="none"/>
        </w:rPr>
        <w:t>在</w:t>
      </w:r>
      <w:r>
        <w:rPr>
          <w:rFonts w:hint="eastAsia" w:hAnsi="宋体"/>
          <w:color w:val="auto"/>
          <w:sz w:val="24"/>
          <w:highlight w:val="none"/>
          <w:u w:val="single"/>
        </w:rPr>
        <w:t xml:space="preserve">   </w:t>
      </w:r>
      <w:r>
        <w:rPr>
          <w:rFonts w:hAnsi="宋体"/>
          <w:color w:val="auto"/>
          <w:sz w:val="24"/>
          <w:highlight w:val="none"/>
        </w:rPr>
        <w:t>小时</w:t>
      </w:r>
      <w:r>
        <w:rPr>
          <w:rFonts w:hAnsi="宋体"/>
          <w:color w:val="auto"/>
          <w:sz w:val="24"/>
          <w:highlight w:val="none"/>
        </w:rPr>
        <w:t>内到达甲方现场。</w:t>
      </w:r>
    </w:p>
    <w:p>
      <w:pPr>
        <w:pStyle w:val="11"/>
        <w:snapToGrid w:val="0"/>
        <w:spacing w:before="120" w:after="120" w:line="400" w:lineRule="exact"/>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在</w:t>
      </w:r>
      <w:r>
        <w:rPr>
          <w:rFonts w:hAnsi="宋体"/>
          <w:b/>
          <w:color w:val="auto"/>
          <w:sz w:val="24"/>
          <w:highlight w:val="none"/>
        </w:rPr>
        <w:t>服务质量保证期</w:t>
      </w:r>
      <w:r>
        <w:rPr>
          <w:rFonts w:hAnsi="宋体"/>
          <w:color w:val="auto"/>
          <w:sz w:val="24"/>
          <w:highlight w:val="none"/>
        </w:rPr>
        <w:t>内，乙方应对出现的质量及安全问题负责处理解决并承担</w:t>
      </w:r>
    </w:p>
    <w:p>
      <w:pPr>
        <w:pStyle w:val="11"/>
        <w:snapToGrid w:val="0"/>
        <w:spacing w:before="120" w:after="120" w:line="400" w:lineRule="exact"/>
        <w:ind w:firstLine="360" w:firstLineChars="150"/>
        <w:rPr>
          <w:rFonts w:hAnsi="宋体"/>
          <w:color w:val="auto"/>
          <w:sz w:val="24"/>
          <w:highlight w:val="none"/>
        </w:rPr>
      </w:pPr>
      <w:r>
        <w:rPr>
          <w:rFonts w:hAnsi="宋体"/>
          <w:color w:val="auto"/>
          <w:sz w:val="24"/>
          <w:highlight w:val="none"/>
        </w:rPr>
        <w:t>一切费用。</w:t>
      </w:r>
    </w:p>
    <w:p>
      <w:pPr>
        <w:pStyle w:val="11"/>
        <w:snapToGrid w:val="0"/>
        <w:spacing w:before="120" w:after="120" w:line="400" w:lineRule="exact"/>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pPr>
        <w:pStyle w:val="11"/>
        <w:snapToGrid w:val="0"/>
        <w:spacing w:before="120" w:after="120" w:line="400" w:lineRule="exact"/>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甲方无正当理由拒收接受服务的，甲方向乙方偿付合同款项百分之五作为违约金。</w:t>
      </w:r>
    </w:p>
    <w:p>
      <w:pPr>
        <w:pStyle w:val="11"/>
        <w:snapToGrid w:val="0"/>
        <w:spacing w:before="120" w:after="120" w:line="400" w:lineRule="exact"/>
        <w:ind w:left="410" w:hanging="410" w:hangingChars="171"/>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甲方无故逾期验收和办理款项支付手续的,甲方应按逾期付款总额每日万分之</w:t>
      </w:r>
    </w:p>
    <w:p>
      <w:pPr>
        <w:pStyle w:val="11"/>
        <w:snapToGrid w:val="0"/>
        <w:spacing w:before="120" w:after="120" w:line="400" w:lineRule="exact"/>
        <w:ind w:left="410" w:hanging="410" w:hangingChars="171"/>
        <w:rPr>
          <w:rFonts w:hAnsi="宋体"/>
          <w:color w:val="auto"/>
          <w:sz w:val="24"/>
          <w:highlight w:val="none"/>
        </w:rPr>
      </w:pPr>
      <w:r>
        <w:rPr>
          <w:rFonts w:hAnsi="宋体"/>
          <w:color w:val="auto"/>
          <w:sz w:val="24"/>
          <w:highlight w:val="none"/>
        </w:rPr>
        <w:t>五向乙方支付违约金。</w:t>
      </w:r>
    </w:p>
    <w:p>
      <w:pPr>
        <w:pStyle w:val="11"/>
        <w:snapToGrid w:val="0"/>
        <w:spacing w:before="120" w:after="120" w:line="400" w:lineRule="exact"/>
        <w:ind w:left="410" w:hanging="410" w:hangingChars="171"/>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 xml:space="preserve"> 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rPr>
        <w:t>千分之六</w:t>
      </w:r>
      <w:r>
        <w:rPr>
          <w:rFonts w:hint="eastAsia" w:hAnsi="宋体"/>
          <w:color w:val="auto"/>
          <w:sz w:val="24"/>
          <w:highlight w:val="none"/>
        </w:rPr>
        <w:t>作为</w:t>
      </w:r>
      <w:r>
        <w:rPr>
          <w:rFonts w:hAnsi="宋体"/>
          <w:color w:val="auto"/>
          <w:sz w:val="24"/>
          <w:highlight w:val="none"/>
        </w:rPr>
        <w:t>违约金。乙方超过约定日期10个工作日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pPr>
        <w:pStyle w:val="11"/>
        <w:snapToGrid w:val="0"/>
        <w:spacing w:before="120" w:after="120" w:line="400" w:lineRule="exact"/>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pPr>
        <w:pStyle w:val="11"/>
        <w:snapToGrid w:val="0"/>
        <w:spacing w:before="120" w:after="120" w:line="400" w:lineRule="exact"/>
        <w:ind w:left="480" w:hanging="480" w:hanging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在合同有效期内，任何一方因不可抗力事件导致不能履行合同，则合同履行</w:t>
      </w:r>
    </w:p>
    <w:p>
      <w:pPr>
        <w:pStyle w:val="11"/>
        <w:snapToGrid w:val="0"/>
        <w:spacing w:before="120" w:after="120" w:line="400" w:lineRule="exact"/>
        <w:ind w:firstLine="360" w:firstLineChars="150"/>
        <w:rPr>
          <w:rFonts w:hAnsi="宋体"/>
          <w:color w:val="auto"/>
          <w:sz w:val="24"/>
          <w:highlight w:val="none"/>
        </w:rPr>
      </w:pPr>
      <w:r>
        <w:rPr>
          <w:rFonts w:hAnsi="宋体"/>
          <w:color w:val="auto"/>
          <w:sz w:val="24"/>
          <w:highlight w:val="none"/>
        </w:rPr>
        <w:t>期可延长，其延长期与不可抗力影响期相同。</w:t>
      </w:r>
    </w:p>
    <w:p>
      <w:pPr>
        <w:pStyle w:val="11"/>
        <w:snapToGrid w:val="0"/>
        <w:spacing w:before="120" w:after="120"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不可抗力事件发生后，应立即通知对方，并寄送有关权威机构出具的证明。</w:t>
      </w:r>
    </w:p>
    <w:p>
      <w:pPr>
        <w:pStyle w:val="11"/>
        <w:snapToGrid w:val="0"/>
        <w:spacing w:before="120" w:after="120" w:line="400" w:lineRule="exact"/>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不可抗力事件延续120天以上，双方应通过友好协商，确定是否继续履行合</w:t>
      </w:r>
    </w:p>
    <w:p>
      <w:pPr>
        <w:pStyle w:val="11"/>
        <w:snapToGrid w:val="0"/>
        <w:spacing w:before="120" w:after="120" w:line="400" w:lineRule="exact"/>
        <w:ind w:firstLine="360" w:firstLineChars="150"/>
        <w:rPr>
          <w:rFonts w:hAnsi="宋体"/>
          <w:color w:val="auto"/>
          <w:sz w:val="24"/>
          <w:highlight w:val="none"/>
        </w:rPr>
      </w:pPr>
      <w:r>
        <w:rPr>
          <w:rFonts w:hAnsi="宋体"/>
          <w:color w:val="auto"/>
          <w:sz w:val="24"/>
          <w:highlight w:val="none"/>
        </w:rPr>
        <w:t>同。</w:t>
      </w:r>
    </w:p>
    <w:p>
      <w:pPr>
        <w:pStyle w:val="11"/>
        <w:snapToGrid w:val="0"/>
        <w:spacing w:before="120" w:after="120" w:line="400" w:lineRule="exact"/>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pPr>
        <w:pStyle w:val="11"/>
        <w:snapToGrid w:val="0"/>
        <w:spacing w:before="120" w:after="120" w:line="400" w:lineRule="exact"/>
        <w:rPr>
          <w:rFonts w:hAnsi="宋体" w:cs="宋体"/>
          <w:color w:val="auto"/>
          <w:kern w:val="0"/>
          <w:sz w:val="24"/>
          <w:highlight w:val="none"/>
        </w:rPr>
      </w:pPr>
      <w:r>
        <w:rPr>
          <w:rFonts w:hint="eastAsia" w:hAnsi="宋体" w:cs="宋体"/>
          <w:color w:val="auto"/>
          <w:kern w:val="0"/>
          <w:sz w:val="24"/>
          <w:highlight w:val="none"/>
        </w:rPr>
        <w:t xml:space="preserve">1. </w:t>
      </w:r>
      <w:r>
        <w:rPr>
          <w:rFonts w:hAnsi="宋体" w:cs="宋体"/>
          <w:color w:val="auto"/>
          <w:kern w:val="0"/>
          <w:sz w:val="24"/>
          <w:highlight w:val="none"/>
        </w:rPr>
        <w:t>如双方在履行合同时发生纠纷，应协商解决；协商不成时，可提请政府采购管理部门调解；调解不成的通过以下</w:t>
      </w:r>
      <w:r>
        <w:rPr>
          <w:rFonts w:hAnsi="宋体" w:cs="宋体"/>
          <w:color w:val="auto"/>
          <w:kern w:val="0"/>
          <w:sz w:val="24"/>
          <w:highlight w:val="none"/>
          <w:u w:val="single"/>
        </w:rPr>
        <w:t>方式</w:t>
      </w:r>
      <w:r>
        <w:rPr>
          <w:rFonts w:hint="eastAsia" w:hAnsi="宋体" w:cs="宋体"/>
          <w:color w:val="auto"/>
          <w:kern w:val="0"/>
          <w:sz w:val="24"/>
          <w:highlight w:val="none"/>
          <w:u w:val="single"/>
        </w:rPr>
        <w:t>（1）</w:t>
      </w:r>
      <w:r>
        <w:rPr>
          <w:rFonts w:hAnsi="宋体" w:cs="宋体"/>
          <w:color w:val="auto"/>
          <w:kern w:val="0"/>
          <w:sz w:val="24"/>
          <w:highlight w:val="none"/>
        </w:rPr>
        <w:t>解决：</w:t>
      </w:r>
      <w:r>
        <w:rPr>
          <w:rFonts w:hAnsi="宋体" w:cs="宋体"/>
          <w:color w:val="auto"/>
          <w:kern w:val="0"/>
          <w:sz w:val="24"/>
          <w:highlight w:val="none"/>
        </w:rPr>
        <w:br w:type="textWrapping"/>
      </w:r>
      <w:r>
        <w:rPr>
          <w:rFonts w:hAnsi="宋体" w:cs="宋体"/>
          <w:color w:val="auto"/>
          <w:kern w:val="0"/>
          <w:sz w:val="24"/>
          <w:highlight w:val="none"/>
        </w:rPr>
        <w:t>（1） 提交台州仲裁委员会仲裁。</w:t>
      </w:r>
      <w:r>
        <w:rPr>
          <w:rFonts w:hAnsi="宋体" w:cs="宋体"/>
          <w:color w:val="auto"/>
          <w:kern w:val="0"/>
          <w:sz w:val="24"/>
          <w:highlight w:val="none"/>
        </w:rPr>
        <w:br w:type="textWrapping"/>
      </w:r>
      <w:r>
        <w:rPr>
          <w:rFonts w:hAnsi="宋体" w:cs="宋体"/>
          <w:color w:val="auto"/>
          <w:kern w:val="0"/>
          <w:sz w:val="24"/>
          <w:highlight w:val="none"/>
        </w:rPr>
        <w:t>（2） 依法向</w:t>
      </w:r>
      <w:r>
        <w:rPr>
          <w:rFonts w:hint="eastAsia" w:hAnsi="宋体" w:cs="宋体"/>
          <w:color w:val="auto"/>
          <w:kern w:val="0"/>
          <w:sz w:val="24"/>
          <w:highlight w:val="none"/>
        </w:rPr>
        <w:t>项目所在地</w:t>
      </w:r>
      <w:r>
        <w:rPr>
          <w:rFonts w:hAnsi="宋体" w:cs="宋体"/>
          <w:color w:val="auto"/>
          <w:kern w:val="0"/>
          <w:sz w:val="24"/>
          <w:highlight w:val="none"/>
        </w:rPr>
        <w:t>人民法院提起诉讼。</w:t>
      </w:r>
    </w:p>
    <w:p>
      <w:pPr>
        <w:pStyle w:val="11"/>
        <w:snapToGrid w:val="0"/>
        <w:spacing w:before="120" w:after="120" w:line="400" w:lineRule="exact"/>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、合同生效及其它</w:t>
      </w:r>
    </w:p>
    <w:p>
      <w:pPr>
        <w:pStyle w:val="11"/>
        <w:snapToGrid w:val="0"/>
        <w:spacing w:before="120" w:after="120"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pPr>
        <w:pStyle w:val="11"/>
        <w:snapToGrid w:val="0"/>
        <w:spacing w:before="120" w:after="120" w:line="400" w:lineRule="exact"/>
        <w:ind w:left="480" w:hanging="480" w:hangingChars="200"/>
        <w:rPr>
          <w:rFonts w:hAnsi="宋体"/>
          <w:color w:val="auto"/>
          <w:sz w:val="24"/>
          <w:highlight w:val="none"/>
        </w:rPr>
      </w:pPr>
      <w:r>
        <w:rPr>
          <w:rFonts w:hint="eastAsia" w:hAnsi="宋体"/>
          <w:color w:val="auto"/>
          <w:sz w:val="24"/>
          <w:highlight w:val="none"/>
        </w:rPr>
        <w:t xml:space="preserve">2. </w:t>
      </w:r>
      <w:r>
        <w:rPr>
          <w:rFonts w:hAnsi="宋体"/>
          <w:color w:val="auto"/>
          <w:sz w:val="24"/>
          <w:highlight w:val="none"/>
        </w:rPr>
        <w:t>本合同未尽事宜，遵照《合同法》有关条文执行。</w:t>
      </w:r>
    </w:p>
    <w:p>
      <w:pPr>
        <w:widowControl/>
        <w:spacing w:line="400" w:lineRule="exact"/>
        <w:rPr>
          <w:rFonts w:ascii="宋体" w:hAnsi="宋体" w:cstheme="minorBidi"/>
          <w:color w:val="auto"/>
          <w:sz w:val="24"/>
          <w:highlight w:val="none"/>
        </w:rPr>
      </w:pPr>
      <w:r>
        <w:rPr>
          <w:rFonts w:hint="eastAsia" w:ascii="宋体" w:hAnsi="宋体" w:cstheme="minorBidi"/>
          <w:color w:val="auto"/>
          <w:sz w:val="24"/>
          <w:highlight w:val="none"/>
        </w:rPr>
        <w:t>3. 本合同一式四份。甲、乙双方各执一份，</w:t>
      </w:r>
      <w:r>
        <w:rPr>
          <w:rFonts w:hint="eastAsia" w:ascii="宋体" w:hAnsi="宋体"/>
          <w:color w:val="auto"/>
          <w:sz w:val="24"/>
          <w:highlight w:val="none"/>
        </w:rPr>
        <w:t>采购组织机构及同级人民政府财政部门各执一份</w:t>
      </w:r>
      <w:r>
        <w:rPr>
          <w:rFonts w:hint="eastAsia" w:ascii="宋体" w:hAnsi="宋体" w:cstheme="minorBidi"/>
          <w:color w:val="auto"/>
          <w:sz w:val="24"/>
          <w:highlight w:val="none"/>
        </w:rPr>
        <w:t>。本项目未尽事宜以招标文件、投标文件及澄清文件等为准。</w:t>
      </w:r>
    </w:p>
    <w:tbl>
      <w:tblPr>
        <w:tblStyle w:val="2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874"/>
        <w:gridCol w:w="2611"/>
        <w:gridCol w:w="17"/>
        <w:gridCol w:w="53"/>
        <w:gridCol w:w="1017"/>
        <w:gridCol w:w="651"/>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54" w:type="dxa"/>
            <w:vMerge w:val="restart"/>
            <w:tcBorders>
              <w:top w:val="single" w:color="auto" w:sz="8" w:space="0"/>
              <w:left w:val="single" w:color="auto" w:sz="8" w:space="0"/>
              <w:bottom w:val="single" w:color="auto" w:sz="4" w:space="0"/>
              <w:right w:val="single" w:color="auto" w:sz="4" w:space="0"/>
            </w:tcBorders>
            <w:textDirection w:val="tbRlV"/>
            <w:vAlign w:val="center"/>
          </w:tcPr>
          <w:p>
            <w:pPr>
              <w:tabs>
                <w:tab w:val="left" w:pos="1100"/>
              </w:tabs>
              <w:ind w:left="113" w:right="113"/>
              <w:jc w:val="center"/>
              <w:rPr>
                <w:rFonts w:ascii="宋体" w:hAnsi="宋体"/>
                <w:color w:val="auto"/>
                <w:sz w:val="24"/>
                <w:highlight w:val="none"/>
              </w:rPr>
            </w:pPr>
            <w:r>
              <w:rPr>
                <w:rFonts w:hint="eastAsia" w:ascii="宋体" w:hAnsi="宋体"/>
                <w:color w:val="auto"/>
                <w:sz w:val="24"/>
                <w:highlight w:val="none"/>
              </w:rPr>
              <w:t>委托方</w:t>
            </w:r>
            <w:r>
              <w:rPr>
                <w:rFonts w:ascii="Calibri" w:hAnsi="Calibri"/>
                <w:color w:val="auto"/>
                <w:sz w:val="24"/>
                <w:highlight w:val="none"/>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516255</wp:posOffset>
                      </wp:positionV>
                      <wp:extent cx="76200" cy="172085"/>
                      <wp:effectExtent l="0" t="0" r="0" b="0"/>
                      <wp:wrapNone/>
                      <wp:docPr id="1" name="左中括号 1"/>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58240;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SyWl1wAAAAwBAAAPAAAAAAAAAAEAIAAAACIAAABkcnMvZG93bnJldi54bWxQ&#10;SwECFAAUAAAACACHTuJAgORfivgBAADUAwAADgAAAAAAAAABACAAAAAmAQAAZHJzL2Uyb0RvYy54&#10;bWxQSwUGAAAAAAYABgBZAQAAkAUAAAAA&#10;" adj="1799">
                      <v:fill on="f" focussize="0,0"/>
                      <v:stroke color="#000000" joinstyle="round"/>
                      <v:imagedata o:title=""/>
                      <o:lock v:ext="edit" aspectratio="f"/>
                    </v:shape>
                  </w:pict>
                </mc:Fallback>
              </mc:AlternateContent>
            </w:r>
          </w:p>
        </w:tc>
        <w:tc>
          <w:tcPr>
            <w:tcW w:w="1874" w:type="dxa"/>
            <w:tcBorders>
              <w:top w:val="single" w:color="auto" w:sz="8"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名称（或姓名）</w:t>
            </w:r>
          </w:p>
        </w:tc>
        <w:tc>
          <w:tcPr>
            <w:tcW w:w="6291" w:type="dxa"/>
            <w:gridSpan w:val="6"/>
            <w:tcBorders>
              <w:top w:val="single" w:color="auto" w:sz="8" w:space="0"/>
              <w:left w:val="single" w:color="auto" w:sz="4" w:space="0"/>
              <w:bottom w:val="single" w:color="auto" w:sz="4" w:space="0"/>
              <w:right w:val="single" w:color="auto" w:sz="8"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玉环市道路运输事务中心（盖章）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法定代表人</w:t>
            </w:r>
          </w:p>
        </w:tc>
        <w:tc>
          <w:tcPr>
            <w:tcW w:w="2681"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c>
          <w:tcPr>
            <w:tcW w:w="1668" w:type="dxa"/>
            <w:gridSpan w:val="2"/>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委托代理人</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联  系  人</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 xml:space="preserve">                         （签字或盖章）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住    所</w:t>
            </w:r>
          </w:p>
          <w:p>
            <w:pPr>
              <w:tabs>
                <w:tab w:val="left" w:pos="1100"/>
              </w:tabs>
              <w:jc w:val="center"/>
              <w:rPr>
                <w:rFonts w:ascii="宋体" w:hAnsi="宋体"/>
                <w:color w:val="auto"/>
                <w:sz w:val="24"/>
                <w:highlight w:val="none"/>
              </w:rPr>
            </w:pPr>
            <w:r>
              <w:rPr>
                <w:rFonts w:hint="eastAsia" w:ascii="宋体" w:hAnsi="宋体"/>
                <w:color w:val="auto"/>
                <w:sz w:val="24"/>
                <w:highlight w:val="none"/>
              </w:rPr>
              <w:t>（通讯地址）</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电     话</w:t>
            </w:r>
          </w:p>
        </w:tc>
        <w:tc>
          <w:tcPr>
            <w:tcW w:w="2611" w:type="dxa"/>
            <w:tcBorders>
              <w:top w:val="single" w:color="auto" w:sz="4" w:space="0"/>
              <w:left w:val="single" w:color="auto" w:sz="4" w:space="0"/>
              <w:bottom w:val="single" w:color="auto" w:sz="4" w:space="0"/>
              <w:right w:val="single" w:color="auto" w:sz="4" w:space="0"/>
            </w:tcBorders>
            <w:vAlign w:val="center"/>
          </w:tcPr>
          <w:p>
            <w:pPr>
              <w:tabs>
                <w:tab w:val="left" w:pos="1100"/>
              </w:tabs>
              <w:jc w:val="right"/>
              <w:rPr>
                <w:rFonts w:ascii="宋体" w:hAnsi="宋体"/>
                <w:color w:val="auto"/>
                <w:sz w:val="24"/>
                <w:highlight w:val="none"/>
              </w:rPr>
            </w:pPr>
          </w:p>
          <w:p>
            <w:pPr>
              <w:tabs>
                <w:tab w:val="left" w:pos="1100"/>
              </w:tabs>
              <w:ind w:right="420" w:firstLine="840" w:firstLineChars="350"/>
              <w:rPr>
                <w:rFonts w:ascii="宋体" w:hAnsi="宋体"/>
                <w:color w:val="auto"/>
                <w:sz w:val="24"/>
                <w:highlight w:val="none"/>
              </w:rPr>
            </w:pPr>
            <w:r>
              <w:rPr>
                <w:rFonts w:hint="eastAsia" w:ascii="宋体" w:hAnsi="宋体"/>
                <w:color w:val="auto"/>
                <w:sz w:val="24"/>
                <w:highlight w:val="none"/>
              </w:rPr>
              <w:t xml:space="preserve"> </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E-mail</w:t>
            </w:r>
          </w:p>
        </w:tc>
        <w:tc>
          <w:tcPr>
            <w:tcW w:w="2593" w:type="dxa"/>
            <w:gridSpan w:val="2"/>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p>
            <w:pPr>
              <w:tabs>
                <w:tab w:val="left" w:pos="1100"/>
              </w:tabs>
              <w:ind w:firstLine="240" w:firstLineChars="1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开 户 银 行</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帐     号</w:t>
            </w:r>
          </w:p>
        </w:tc>
        <w:tc>
          <w:tcPr>
            <w:tcW w:w="2628" w:type="dxa"/>
            <w:gridSpan w:val="2"/>
            <w:tcBorders>
              <w:top w:val="single" w:color="auto" w:sz="4" w:space="0"/>
              <w:left w:val="single" w:color="auto" w:sz="4" w:space="0"/>
              <w:bottom w:val="single" w:color="auto" w:sz="4" w:space="0"/>
              <w:right w:val="single" w:color="auto" w:sz="4" w:space="0"/>
            </w:tcBorders>
            <w:vAlign w:val="center"/>
          </w:tcPr>
          <w:p>
            <w:pPr>
              <w:tabs>
                <w:tab w:val="left" w:pos="1100"/>
              </w:tabs>
              <w:rPr>
                <w:rFonts w:ascii="宋体" w:hAnsi="宋体"/>
                <w:color w:val="auto"/>
                <w:sz w:val="24"/>
                <w:highlight w:val="none"/>
              </w:rPr>
            </w:pPr>
          </w:p>
        </w:tc>
        <w:tc>
          <w:tcPr>
            <w:tcW w:w="1721"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邮政编码</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4" w:type="dxa"/>
            <w:vMerge w:val="restart"/>
            <w:tcBorders>
              <w:top w:val="single" w:color="auto" w:sz="4" w:space="0"/>
              <w:left w:val="single" w:color="auto" w:sz="8" w:space="0"/>
              <w:bottom w:val="single" w:color="auto" w:sz="4" w:space="0"/>
              <w:right w:val="single" w:color="auto" w:sz="4" w:space="0"/>
            </w:tcBorders>
            <w:textDirection w:val="tbRlV"/>
            <w:vAlign w:val="center"/>
          </w:tcPr>
          <w:p>
            <w:pPr>
              <w:tabs>
                <w:tab w:val="left" w:pos="1100"/>
              </w:tabs>
              <w:ind w:left="113" w:right="113"/>
              <w:jc w:val="center"/>
              <w:rPr>
                <w:rFonts w:ascii="宋体" w:hAnsi="宋体"/>
                <w:color w:val="auto"/>
                <w:sz w:val="24"/>
                <w:highlight w:val="none"/>
              </w:rPr>
            </w:pPr>
            <w:r>
              <w:rPr>
                <w:rFonts w:hint="eastAsia" w:ascii="宋体" w:hAnsi="宋体"/>
                <w:color w:val="auto"/>
                <w:sz w:val="24"/>
                <w:highlight w:val="none"/>
              </w:rPr>
              <w:t>被委托方</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名称（或姓名）</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法定代表人</w:t>
            </w:r>
          </w:p>
        </w:tc>
        <w:tc>
          <w:tcPr>
            <w:tcW w:w="2611" w:type="dxa"/>
            <w:tcBorders>
              <w:top w:val="single" w:color="auto" w:sz="4" w:space="0"/>
              <w:left w:val="single" w:color="auto" w:sz="4" w:space="0"/>
              <w:bottom w:val="single" w:color="auto" w:sz="4" w:space="0"/>
              <w:right w:val="single" w:color="auto" w:sz="4"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c>
          <w:tcPr>
            <w:tcW w:w="1738" w:type="dxa"/>
            <w:gridSpan w:val="4"/>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委托代理人</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联  系  人</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住     所</w:t>
            </w:r>
          </w:p>
          <w:p>
            <w:pPr>
              <w:tabs>
                <w:tab w:val="left" w:pos="1100"/>
              </w:tabs>
              <w:jc w:val="center"/>
              <w:rPr>
                <w:rFonts w:ascii="宋体" w:hAnsi="宋体"/>
                <w:color w:val="auto"/>
                <w:sz w:val="24"/>
                <w:highlight w:val="none"/>
              </w:rPr>
            </w:pPr>
            <w:r>
              <w:rPr>
                <w:rFonts w:hint="eastAsia" w:ascii="宋体" w:hAnsi="宋体"/>
                <w:color w:val="auto"/>
                <w:sz w:val="24"/>
                <w:highlight w:val="none"/>
              </w:rPr>
              <w:t>（通讯地址）</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p>
            <w:pPr>
              <w:tabs>
                <w:tab w:val="left" w:pos="1100"/>
              </w:tabs>
              <w:ind w:firstLine="2160" w:firstLineChars="900"/>
              <w:rPr>
                <w:rFonts w:ascii="宋体" w:hAnsi="宋体"/>
                <w:color w:val="auto"/>
                <w:spacing w:val="-20"/>
                <w:sz w:val="24"/>
                <w:highlight w:val="none"/>
              </w:rPr>
            </w:pP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电      话</w:t>
            </w:r>
          </w:p>
        </w:tc>
        <w:tc>
          <w:tcPr>
            <w:tcW w:w="2611" w:type="dxa"/>
            <w:tcBorders>
              <w:top w:val="single" w:color="auto" w:sz="4" w:space="0"/>
              <w:left w:val="single" w:color="auto" w:sz="4" w:space="0"/>
              <w:bottom w:val="single" w:color="auto" w:sz="4" w:space="0"/>
              <w:right w:val="single" w:color="auto" w:sz="4" w:space="0"/>
            </w:tcBorders>
            <w:vAlign w:val="center"/>
          </w:tcPr>
          <w:p>
            <w:pPr>
              <w:tabs>
                <w:tab w:val="left" w:pos="1100"/>
              </w:tabs>
              <w:rPr>
                <w:rFonts w:ascii="宋体" w:hAnsi="宋体"/>
                <w:color w:val="auto"/>
                <w:sz w:val="24"/>
                <w:highlight w:val="none"/>
              </w:rPr>
            </w:pPr>
          </w:p>
          <w:p>
            <w:pPr>
              <w:tabs>
                <w:tab w:val="left" w:pos="1100"/>
              </w:tabs>
              <w:ind w:firstLine="720" w:firstLineChars="300"/>
              <w:rPr>
                <w:rFonts w:ascii="宋体" w:hAnsi="宋体"/>
                <w:color w:val="auto"/>
                <w:spacing w:val="-20"/>
                <w:sz w:val="24"/>
                <w:highlight w:val="none"/>
              </w:rPr>
            </w:pPr>
            <w:r>
              <w:rPr>
                <w:rFonts w:hint="eastAsia" w:ascii="宋体" w:hAnsi="宋体"/>
                <w:color w:val="auto"/>
                <w:sz w:val="24"/>
                <w:highlight w:val="none"/>
              </w:rPr>
              <w:t xml:space="preserve"> </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E-mail</w:t>
            </w:r>
          </w:p>
        </w:tc>
        <w:tc>
          <w:tcPr>
            <w:tcW w:w="2593" w:type="dxa"/>
            <w:gridSpan w:val="2"/>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p>
            <w:pPr>
              <w:tabs>
                <w:tab w:val="left" w:pos="1100"/>
              </w:tabs>
              <w:ind w:firstLine="240" w:firstLineChars="100"/>
              <w:rPr>
                <w:rFonts w:ascii="宋体" w:hAnsi="宋体"/>
                <w:color w:val="auto"/>
                <w:sz w:val="24"/>
                <w:highlight w:val="none"/>
              </w:rPr>
            </w:pP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开 户 银 行</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p>
            <w:pPr>
              <w:tabs>
                <w:tab w:val="left" w:pos="1100"/>
              </w:tabs>
              <w:ind w:firstLine="1080" w:firstLineChars="450"/>
              <w:rPr>
                <w:rFonts w:ascii="宋体" w:hAnsi="宋体"/>
                <w:color w:val="auto"/>
                <w:sz w:val="24"/>
                <w:highlight w:val="none"/>
              </w:rPr>
            </w:pP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帐      号</w:t>
            </w:r>
          </w:p>
        </w:tc>
        <w:tc>
          <w:tcPr>
            <w:tcW w:w="2628" w:type="dxa"/>
            <w:gridSpan w:val="2"/>
            <w:tcBorders>
              <w:top w:val="single" w:color="auto" w:sz="4" w:space="0"/>
              <w:left w:val="single" w:color="auto" w:sz="4" w:space="0"/>
              <w:bottom w:val="single" w:color="auto" w:sz="4" w:space="0"/>
              <w:right w:val="single" w:color="auto" w:sz="4" w:space="0"/>
            </w:tcBorders>
            <w:vAlign w:val="center"/>
          </w:tcPr>
          <w:p>
            <w:pPr>
              <w:tabs>
                <w:tab w:val="left" w:pos="1100"/>
              </w:tabs>
              <w:rPr>
                <w:rFonts w:ascii="宋体" w:hAnsi="宋体"/>
                <w:color w:val="auto"/>
                <w:sz w:val="24"/>
                <w:highlight w:val="none"/>
              </w:rPr>
            </w:pPr>
          </w:p>
          <w:p>
            <w:pPr>
              <w:jc w:val="center"/>
              <w:rPr>
                <w:rFonts w:ascii="宋体" w:hAnsi="宋体"/>
                <w:color w:val="auto"/>
                <w:sz w:val="24"/>
                <w:highlight w:val="none"/>
              </w:rPr>
            </w:pPr>
          </w:p>
        </w:tc>
        <w:tc>
          <w:tcPr>
            <w:tcW w:w="1721"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邮政编码</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bl>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bookmarkEnd w:id="1"/>
    <w:p>
      <w:pPr>
        <w:pStyle w:val="17"/>
        <w:rPr>
          <w:color w:val="auto"/>
          <w:highlight w:val="none"/>
        </w:rPr>
      </w:pPr>
      <w:r>
        <w:rPr>
          <w:rFonts w:hint="eastAsia"/>
          <w:color w:val="auto"/>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19"/>
        <w:ind w:firstLine="300"/>
        <w:jc w:val="center"/>
        <w:rPr>
          <w:color w:val="auto"/>
          <w:sz w:val="30"/>
          <w:szCs w:val="30"/>
          <w:highlight w:val="none"/>
        </w:rPr>
      </w:pPr>
      <w:r>
        <w:rPr>
          <w:rFonts w:hint="eastAsia"/>
          <w:color w:val="auto"/>
          <w:sz w:val="30"/>
          <w:szCs w:val="30"/>
          <w:highlight w:val="none"/>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8"/>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8"/>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8"/>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rFonts w:hint="eastAsia"/>
          <w:color w:val="auto"/>
          <w:sz w:val="28"/>
          <w:szCs w:val="28"/>
          <w:highlight w:val="none"/>
        </w:rPr>
        <w:t>具有有效期内的信息系统工程监理单位证书</w:t>
      </w:r>
      <w:r>
        <w:rPr>
          <w:color w:val="auto"/>
          <w:sz w:val="28"/>
          <w:szCs w:val="28"/>
          <w:highlight w:val="none"/>
        </w:rPr>
        <w:t>的证明材料</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本项目要求的特定资质证书（或评标时所需的证书材料）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snapToGrid w:val="0"/>
        <w:spacing w:before="156" w:beforeLines="50" w:after="50" w:line="4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numPr>
          <w:ilvl w:val="255"/>
          <w:numId w:val="0"/>
        </w:numPr>
        <w:snapToGrid w:val="0"/>
        <w:spacing w:before="156"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400" w:lineRule="exact"/>
        <w:ind w:firstLine="480"/>
        <w:rPr>
          <w:rFonts w:ascii="宋体" w:hAnsi="宋体" w:cs="仿宋_GB2312"/>
          <w:color w:val="auto"/>
          <w:kern w:val="0"/>
          <w:sz w:val="24"/>
          <w:highlight w:val="none"/>
        </w:rPr>
      </w:pPr>
    </w:p>
    <w:p>
      <w:pPr>
        <w:adjustRightInd w:val="0"/>
        <w:snapToGrid w:val="0"/>
        <w:spacing w:line="40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adjustRightInd w:val="0"/>
        <w:snapToGrid w:val="0"/>
        <w:spacing w:line="40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400" w:lineRule="exact"/>
        <w:ind w:right="480"/>
        <w:jc w:val="center"/>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pPr>
        <w:rPr>
          <w:rFonts w:ascii="宋体" w:hAnsi="宋体"/>
          <w:b/>
          <w:color w:val="auto"/>
          <w:sz w:val="28"/>
          <w:highlight w:val="none"/>
        </w:rPr>
      </w:pP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ascii="宋体" w:hAnsi="宋体" w:cs="宋体"/>
          <w:color w:val="auto"/>
          <w:kern w:val="0"/>
          <w:sz w:val="24"/>
          <w:highlight w:val="none"/>
        </w:rPr>
        <w:t>（采购代理机构名称）：</w:t>
      </w:r>
    </w:p>
    <w:p>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rPr>
          <w:b/>
          <w:color w:val="auto"/>
          <w:sz w:val="28"/>
          <w:highlight w:val="none"/>
        </w:rPr>
      </w:pPr>
    </w:p>
    <w:p>
      <w:pPr>
        <w:pStyle w:val="39"/>
        <w:shd w:val="clear" w:color="auto" w:fill="FFFFFF"/>
        <w:spacing w:before="0" w:beforeAutospacing="0" w:after="0" w:afterAutospacing="0" w:line="400" w:lineRule="exact"/>
        <w:rPr>
          <w:b/>
          <w:color w:val="auto"/>
          <w:sz w:val="28"/>
          <w:highlight w:val="none"/>
        </w:rPr>
      </w:pPr>
      <w:r>
        <w:rPr>
          <w:rFonts w:hint="eastAsia"/>
          <w:b/>
          <w:color w:val="auto"/>
          <w:sz w:val="28"/>
          <w:highlight w:val="none"/>
        </w:rPr>
        <w:t>附件5</w:t>
      </w:r>
    </w:p>
    <w:p>
      <w:pPr>
        <w:pStyle w:val="39"/>
        <w:shd w:val="clear" w:color="auto" w:fill="FFFFFF"/>
        <w:spacing w:before="0" w:beforeAutospacing="0" w:after="0" w:afterAutospacing="0" w:line="400" w:lineRule="exact"/>
        <w:jc w:val="center"/>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82" w:type="dxa"/>
          </w:tcPr>
          <w:p>
            <w:pPr>
              <w:pStyle w:val="39"/>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39"/>
              <w:shd w:val="clear" w:color="auto" w:fill="FFFFFF"/>
              <w:spacing w:line="360" w:lineRule="auto"/>
              <w:rPr>
                <w:bCs/>
                <w:color w:val="auto"/>
                <w:highlight w:val="none"/>
              </w:rPr>
            </w:pPr>
          </w:p>
        </w:tc>
        <w:tc>
          <w:tcPr>
            <w:tcW w:w="2001" w:type="dxa"/>
            <w:gridSpan w:val="3"/>
          </w:tcPr>
          <w:p>
            <w:pPr>
              <w:pStyle w:val="39"/>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39"/>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tcPr>
          <w:p>
            <w:pPr>
              <w:pStyle w:val="39"/>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39"/>
              <w:shd w:val="clear" w:color="auto" w:fill="FFFFFF"/>
              <w:spacing w:line="360" w:lineRule="auto"/>
              <w:rPr>
                <w:bCs/>
                <w:color w:val="auto"/>
                <w:spacing w:val="16"/>
                <w:highlight w:val="none"/>
              </w:rPr>
            </w:pPr>
          </w:p>
        </w:tc>
        <w:tc>
          <w:tcPr>
            <w:tcW w:w="2001" w:type="dxa"/>
            <w:gridSpan w:val="3"/>
          </w:tcPr>
          <w:p>
            <w:pPr>
              <w:pStyle w:val="39"/>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39"/>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9"/>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39"/>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39"/>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9"/>
              <w:shd w:val="clear" w:color="auto" w:fill="FFFFFF"/>
              <w:spacing w:line="360" w:lineRule="auto"/>
              <w:rPr>
                <w:bCs/>
                <w:color w:val="auto"/>
                <w:spacing w:val="16"/>
                <w:highlight w:val="none"/>
              </w:rPr>
            </w:pPr>
          </w:p>
        </w:tc>
        <w:tc>
          <w:tcPr>
            <w:tcW w:w="2001" w:type="dxa"/>
            <w:gridSpan w:val="3"/>
          </w:tcPr>
          <w:p>
            <w:pPr>
              <w:pStyle w:val="39"/>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39"/>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9"/>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39"/>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39"/>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9"/>
              <w:shd w:val="clear" w:color="auto" w:fill="FFFFFF"/>
              <w:spacing w:line="360" w:lineRule="auto"/>
              <w:rPr>
                <w:bCs/>
                <w:color w:val="auto"/>
                <w:spacing w:val="16"/>
                <w:highlight w:val="none"/>
              </w:rPr>
            </w:pPr>
          </w:p>
        </w:tc>
        <w:tc>
          <w:tcPr>
            <w:tcW w:w="2001" w:type="dxa"/>
            <w:gridSpan w:val="3"/>
            <w:vMerge w:val="restart"/>
          </w:tcPr>
          <w:p>
            <w:pPr>
              <w:pStyle w:val="39"/>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39"/>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9"/>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39"/>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39"/>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39"/>
              <w:shd w:val="clear" w:color="auto" w:fill="FFFFFF"/>
              <w:spacing w:line="360" w:lineRule="auto"/>
              <w:rPr>
                <w:bCs/>
                <w:color w:val="auto"/>
                <w:spacing w:val="16"/>
                <w:highlight w:val="none"/>
              </w:rPr>
            </w:pPr>
          </w:p>
        </w:tc>
        <w:tc>
          <w:tcPr>
            <w:tcW w:w="2001" w:type="dxa"/>
            <w:gridSpan w:val="3"/>
            <w:vMerge w:val="continue"/>
          </w:tcPr>
          <w:p>
            <w:pPr>
              <w:pStyle w:val="39"/>
              <w:shd w:val="clear" w:color="auto" w:fill="FFFFFF"/>
              <w:spacing w:line="360" w:lineRule="auto"/>
              <w:rPr>
                <w:bCs/>
                <w:color w:val="auto"/>
                <w:spacing w:val="16"/>
                <w:highlight w:val="none"/>
              </w:rPr>
            </w:pPr>
          </w:p>
        </w:tc>
        <w:tc>
          <w:tcPr>
            <w:tcW w:w="2151" w:type="dxa"/>
            <w:gridSpan w:val="2"/>
            <w:vMerge w:val="continue"/>
          </w:tcPr>
          <w:p>
            <w:pPr>
              <w:pStyle w:val="39"/>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9"/>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39"/>
              <w:shd w:val="clear" w:color="auto" w:fill="FFFFFF"/>
              <w:spacing w:line="360" w:lineRule="auto"/>
              <w:ind w:left="107"/>
              <w:rPr>
                <w:bCs/>
                <w:color w:val="auto"/>
                <w:highlight w:val="none"/>
              </w:rPr>
            </w:pPr>
            <w:r>
              <w:rPr>
                <w:rFonts w:hint="eastAsia"/>
                <w:bCs/>
                <w:color w:val="auto"/>
                <w:highlight w:val="none"/>
              </w:rPr>
              <w:t>企</w:t>
            </w:r>
          </w:p>
          <w:p>
            <w:pPr>
              <w:pStyle w:val="39"/>
              <w:shd w:val="clear" w:color="auto" w:fill="FFFFFF"/>
              <w:spacing w:line="360" w:lineRule="auto"/>
              <w:ind w:left="107"/>
              <w:rPr>
                <w:bCs/>
                <w:color w:val="auto"/>
                <w:highlight w:val="none"/>
              </w:rPr>
            </w:pPr>
            <w:r>
              <w:rPr>
                <w:rFonts w:hint="eastAsia"/>
                <w:bCs/>
                <w:color w:val="auto"/>
                <w:highlight w:val="none"/>
              </w:rPr>
              <w:t>业</w:t>
            </w:r>
          </w:p>
          <w:p>
            <w:pPr>
              <w:pStyle w:val="39"/>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39"/>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39"/>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39"/>
              <w:shd w:val="clear" w:color="auto" w:fill="FFFFFF"/>
              <w:spacing w:line="360" w:lineRule="auto"/>
              <w:rPr>
                <w:bCs/>
                <w:color w:val="auto"/>
                <w:spacing w:val="16"/>
                <w:highlight w:val="none"/>
              </w:rPr>
            </w:pPr>
          </w:p>
        </w:tc>
        <w:tc>
          <w:tcPr>
            <w:tcW w:w="1163" w:type="dxa"/>
            <w:tcBorders>
              <w:top w:val="nil"/>
            </w:tcBorders>
          </w:tcPr>
          <w:p>
            <w:pPr>
              <w:pStyle w:val="39"/>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39"/>
              <w:shd w:val="clear" w:color="auto" w:fill="FFFFFF"/>
              <w:spacing w:line="360" w:lineRule="auto"/>
              <w:rPr>
                <w:bCs/>
                <w:color w:val="auto"/>
                <w:spacing w:val="16"/>
                <w:highlight w:val="none"/>
              </w:rPr>
            </w:pPr>
          </w:p>
        </w:tc>
        <w:tc>
          <w:tcPr>
            <w:tcW w:w="2001" w:type="dxa"/>
            <w:gridSpan w:val="3"/>
          </w:tcPr>
          <w:p>
            <w:pPr>
              <w:pStyle w:val="39"/>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39"/>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82" w:type="dxa"/>
            <w:vMerge w:val="continue"/>
          </w:tcPr>
          <w:p>
            <w:pPr>
              <w:pStyle w:val="39"/>
              <w:shd w:val="clear" w:color="auto" w:fill="FFFFFF"/>
              <w:spacing w:line="360" w:lineRule="auto"/>
              <w:ind w:left="107"/>
              <w:rPr>
                <w:bCs/>
                <w:color w:val="auto"/>
                <w:highlight w:val="none"/>
              </w:rPr>
            </w:pPr>
          </w:p>
        </w:tc>
        <w:tc>
          <w:tcPr>
            <w:tcW w:w="701" w:type="dxa"/>
          </w:tcPr>
          <w:p>
            <w:pPr>
              <w:pStyle w:val="39"/>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39"/>
              <w:shd w:val="clear" w:color="auto" w:fill="FFFFFF"/>
              <w:spacing w:line="360" w:lineRule="auto"/>
              <w:rPr>
                <w:bCs/>
                <w:color w:val="auto"/>
                <w:highlight w:val="none"/>
              </w:rPr>
            </w:pPr>
          </w:p>
        </w:tc>
        <w:tc>
          <w:tcPr>
            <w:tcW w:w="1163" w:type="dxa"/>
          </w:tcPr>
          <w:p>
            <w:pPr>
              <w:pStyle w:val="39"/>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39"/>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39"/>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39"/>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39"/>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9"/>
              <w:shd w:val="clear" w:color="auto" w:fill="FFFFFF"/>
              <w:spacing w:line="360" w:lineRule="auto"/>
              <w:ind w:left="107"/>
              <w:rPr>
                <w:bCs/>
                <w:color w:val="auto"/>
                <w:highlight w:val="none"/>
              </w:rPr>
            </w:pPr>
          </w:p>
        </w:tc>
        <w:tc>
          <w:tcPr>
            <w:tcW w:w="701" w:type="dxa"/>
          </w:tcPr>
          <w:p>
            <w:pPr>
              <w:pStyle w:val="39"/>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39"/>
              <w:shd w:val="clear" w:color="auto" w:fill="FFFFFF"/>
              <w:spacing w:line="360" w:lineRule="auto"/>
              <w:ind w:left="2"/>
              <w:rPr>
                <w:bCs/>
                <w:color w:val="auto"/>
                <w:highlight w:val="none"/>
              </w:rPr>
            </w:pPr>
          </w:p>
        </w:tc>
        <w:tc>
          <w:tcPr>
            <w:tcW w:w="1163" w:type="dxa"/>
          </w:tcPr>
          <w:p>
            <w:pPr>
              <w:pStyle w:val="39"/>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39"/>
              <w:shd w:val="clear" w:color="auto" w:fill="FFFFFF"/>
              <w:spacing w:line="360" w:lineRule="auto"/>
              <w:ind w:left="107"/>
              <w:rPr>
                <w:bCs/>
                <w:color w:val="auto"/>
                <w:highlight w:val="none"/>
              </w:rPr>
            </w:pPr>
          </w:p>
        </w:tc>
        <w:tc>
          <w:tcPr>
            <w:tcW w:w="1218" w:type="dxa"/>
          </w:tcPr>
          <w:p>
            <w:pPr>
              <w:pStyle w:val="39"/>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39"/>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9"/>
              <w:shd w:val="clear" w:color="auto" w:fill="FFFFFF"/>
              <w:spacing w:line="360" w:lineRule="auto"/>
              <w:ind w:left="107"/>
              <w:rPr>
                <w:bCs/>
                <w:color w:val="auto"/>
                <w:highlight w:val="none"/>
              </w:rPr>
            </w:pPr>
          </w:p>
        </w:tc>
        <w:tc>
          <w:tcPr>
            <w:tcW w:w="701" w:type="dxa"/>
          </w:tcPr>
          <w:p>
            <w:pPr>
              <w:pStyle w:val="39"/>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39"/>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9"/>
              <w:shd w:val="clear" w:color="auto" w:fill="FFFFFF"/>
              <w:spacing w:line="360" w:lineRule="auto"/>
              <w:ind w:left="107"/>
              <w:rPr>
                <w:bCs/>
                <w:color w:val="auto"/>
                <w:highlight w:val="none"/>
              </w:rPr>
            </w:pPr>
          </w:p>
        </w:tc>
        <w:tc>
          <w:tcPr>
            <w:tcW w:w="8131" w:type="dxa"/>
            <w:gridSpan w:val="11"/>
          </w:tcPr>
          <w:p>
            <w:pPr>
              <w:pStyle w:val="39"/>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9"/>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39"/>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39"/>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39"/>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39"/>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39"/>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39"/>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39"/>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9"/>
              <w:shd w:val="clear" w:color="auto" w:fill="FFFFFF"/>
              <w:spacing w:line="360" w:lineRule="auto"/>
              <w:ind w:left="107"/>
              <w:rPr>
                <w:bCs/>
                <w:color w:val="auto"/>
                <w:highlight w:val="none"/>
              </w:rPr>
            </w:pPr>
          </w:p>
        </w:tc>
        <w:tc>
          <w:tcPr>
            <w:tcW w:w="1553" w:type="dxa"/>
            <w:gridSpan w:val="2"/>
            <w:vMerge w:val="continue"/>
          </w:tcPr>
          <w:p>
            <w:pPr>
              <w:pStyle w:val="39"/>
              <w:shd w:val="clear" w:color="auto" w:fill="FFFFFF"/>
              <w:spacing w:line="360" w:lineRule="auto"/>
              <w:rPr>
                <w:bCs/>
                <w:color w:val="auto"/>
                <w:highlight w:val="none"/>
              </w:rPr>
            </w:pPr>
          </w:p>
        </w:tc>
        <w:tc>
          <w:tcPr>
            <w:tcW w:w="1333" w:type="dxa"/>
            <w:gridSpan w:val="3"/>
          </w:tcPr>
          <w:p>
            <w:pPr>
              <w:pStyle w:val="39"/>
              <w:shd w:val="clear" w:color="auto" w:fill="FFFFFF"/>
              <w:spacing w:line="360" w:lineRule="auto"/>
              <w:rPr>
                <w:bCs/>
                <w:color w:val="auto"/>
                <w:highlight w:val="none"/>
              </w:rPr>
            </w:pPr>
          </w:p>
        </w:tc>
        <w:tc>
          <w:tcPr>
            <w:tcW w:w="1418" w:type="dxa"/>
            <w:gridSpan w:val="2"/>
          </w:tcPr>
          <w:p>
            <w:pPr>
              <w:pStyle w:val="39"/>
              <w:shd w:val="clear" w:color="auto" w:fill="FFFFFF"/>
              <w:spacing w:line="360" w:lineRule="auto"/>
              <w:rPr>
                <w:bCs/>
                <w:color w:val="auto"/>
                <w:highlight w:val="none"/>
              </w:rPr>
            </w:pPr>
          </w:p>
        </w:tc>
        <w:tc>
          <w:tcPr>
            <w:tcW w:w="1276" w:type="dxa"/>
          </w:tcPr>
          <w:p>
            <w:pPr>
              <w:pStyle w:val="39"/>
              <w:shd w:val="clear" w:color="auto" w:fill="FFFFFF"/>
              <w:spacing w:line="360" w:lineRule="auto"/>
              <w:rPr>
                <w:bCs/>
                <w:color w:val="auto"/>
                <w:highlight w:val="none"/>
              </w:rPr>
            </w:pPr>
          </w:p>
        </w:tc>
        <w:tc>
          <w:tcPr>
            <w:tcW w:w="2551" w:type="dxa"/>
            <w:gridSpan w:val="3"/>
          </w:tcPr>
          <w:p>
            <w:pPr>
              <w:pStyle w:val="39"/>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9"/>
              <w:shd w:val="clear" w:color="auto" w:fill="FFFFFF"/>
              <w:spacing w:line="360" w:lineRule="auto"/>
              <w:ind w:left="107"/>
              <w:rPr>
                <w:bCs/>
                <w:color w:val="auto"/>
                <w:spacing w:val="16"/>
                <w:highlight w:val="none"/>
              </w:rPr>
            </w:pPr>
          </w:p>
        </w:tc>
        <w:tc>
          <w:tcPr>
            <w:tcW w:w="1553" w:type="dxa"/>
            <w:gridSpan w:val="2"/>
          </w:tcPr>
          <w:p>
            <w:pPr>
              <w:pStyle w:val="39"/>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39"/>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9"/>
              <w:shd w:val="clear" w:color="auto" w:fill="FFFFFF"/>
              <w:spacing w:line="360" w:lineRule="auto"/>
              <w:ind w:left="107"/>
              <w:rPr>
                <w:bCs/>
                <w:color w:val="auto"/>
                <w:spacing w:val="27"/>
                <w:highlight w:val="none"/>
              </w:rPr>
            </w:pPr>
          </w:p>
        </w:tc>
        <w:tc>
          <w:tcPr>
            <w:tcW w:w="1553" w:type="dxa"/>
            <w:gridSpan w:val="2"/>
          </w:tcPr>
          <w:p>
            <w:pPr>
              <w:pStyle w:val="39"/>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39"/>
              <w:shd w:val="clear" w:color="auto" w:fill="FFFFFF"/>
              <w:spacing w:line="360" w:lineRule="auto"/>
              <w:rPr>
                <w:bCs/>
                <w:color w:val="auto"/>
                <w:spacing w:val="16"/>
                <w:highlight w:val="none"/>
              </w:rPr>
            </w:pPr>
          </w:p>
        </w:tc>
      </w:tr>
    </w:tbl>
    <w:p>
      <w:pPr>
        <w:pStyle w:val="39"/>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9"/>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9"/>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项目实施人员一览表（第 标）</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558"/>
        <w:gridCol w:w="1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40"/>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pStyle w:val="4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rPr>
        <w:t>3</w:t>
      </w:r>
      <w:r>
        <w:rPr>
          <w:rFonts w:ascii="宋体" w:hAnsi="宋体"/>
          <w:color w:val="auto"/>
          <w:szCs w:val="21"/>
          <w:highlight w:val="none"/>
        </w:rPr>
        <w:t>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项目总监资格情况表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left"/>
              <w:rPr>
                <w:rFonts w:ascii="宋体" w:hAnsi="宋体"/>
                <w:color w:val="auto"/>
                <w:highlight w:val="none"/>
                <w:lang w:val="zh-CN"/>
              </w:rPr>
            </w:pPr>
            <w:r>
              <w:rPr>
                <w:rFonts w:hint="eastAsia" w:ascii="宋体" w:hAnsi="宋体"/>
                <w:color w:val="auto"/>
                <w:highlight w:val="none"/>
              </w:rPr>
              <w:t>注：业绩证明应提供合同复印件（</w:t>
            </w:r>
            <w:r>
              <w:rPr>
                <w:rFonts w:hint="eastAsia"/>
                <w:color w:val="auto"/>
                <w:kern w:val="0"/>
                <w:szCs w:val="21"/>
                <w:highlight w:val="none"/>
              </w:rPr>
              <w:t>原件现场备查</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 标)</w:t>
      </w:r>
    </w:p>
    <w:p>
      <w:pPr>
        <w:spacing w:line="360" w:lineRule="auto"/>
        <w:rPr>
          <w:rFonts w:ascii="宋体" w:hAnsi="宋体"/>
          <w:color w:val="auto"/>
          <w:sz w:val="24"/>
          <w:highlight w:val="none"/>
        </w:rPr>
      </w:pPr>
    </w:p>
    <w:tbl>
      <w:tblPr>
        <w:tblStyle w:val="21"/>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0"/>
        <w:gridCol w:w="1914"/>
        <w:gridCol w:w="17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90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90"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914"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719"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6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bl>
    <w:p>
      <w:pPr>
        <w:pStyle w:val="41"/>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1"/>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41"/>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41"/>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42"/>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3"/>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3"/>
        <w:spacing w:line="360" w:lineRule="auto"/>
        <w:jc w:val="center"/>
        <w:rPr>
          <w:rFonts w:ascii="宋体" w:hAnsi="宋体" w:cs="Arial"/>
          <w:color w:val="auto"/>
          <w:sz w:val="28"/>
          <w:szCs w:val="28"/>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3"/>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3"/>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3"/>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3"/>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hAnsi="宋体" w:cs="Arial"/>
                <w:color w:val="auto"/>
                <w:szCs w:val="21"/>
                <w:highlight w:val="none"/>
              </w:rPr>
            </w:pPr>
          </w:p>
        </w:tc>
        <w:tc>
          <w:tcPr>
            <w:tcW w:w="2258" w:type="dxa"/>
          </w:tcPr>
          <w:p>
            <w:pPr>
              <w:pStyle w:val="43"/>
              <w:spacing w:line="360" w:lineRule="auto"/>
              <w:jc w:val="center"/>
              <w:rPr>
                <w:rFonts w:ascii="宋体" w:hAnsi="宋体" w:cs="Arial"/>
                <w:color w:val="auto"/>
                <w:szCs w:val="21"/>
                <w:highlight w:val="none"/>
              </w:rPr>
            </w:pPr>
          </w:p>
        </w:tc>
        <w:tc>
          <w:tcPr>
            <w:tcW w:w="2260" w:type="dxa"/>
          </w:tcPr>
          <w:p>
            <w:pPr>
              <w:pStyle w:val="43"/>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hAnsi="宋体" w:cs="Arial"/>
                <w:color w:val="auto"/>
                <w:szCs w:val="21"/>
                <w:highlight w:val="none"/>
              </w:rPr>
            </w:pPr>
          </w:p>
        </w:tc>
        <w:tc>
          <w:tcPr>
            <w:tcW w:w="2258" w:type="dxa"/>
          </w:tcPr>
          <w:p>
            <w:pPr>
              <w:pStyle w:val="43"/>
              <w:spacing w:line="360" w:lineRule="auto"/>
              <w:jc w:val="center"/>
              <w:rPr>
                <w:rFonts w:ascii="宋体" w:hAnsi="宋体" w:cs="Arial"/>
                <w:color w:val="auto"/>
                <w:szCs w:val="21"/>
                <w:highlight w:val="none"/>
              </w:rPr>
            </w:pPr>
          </w:p>
        </w:tc>
        <w:tc>
          <w:tcPr>
            <w:tcW w:w="2260" w:type="dxa"/>
          </w:tcPr>
          <w:p>
            <w:pPr>
              <w:pStyle w:val="43"/>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hAnsi="宋体" w:cs="Arial"/>
                <w:color w:val="auto"/>
                <w:szCs w:val="21"/>
                <w:highlight w:val="none"/>
              </w:rPr>
            </w:pPr>
          </w:p>
        </w:tc>
        <w:tc>
          <w:tcPr>
            <w:tcW w:w="2258" w:type="dxa"/>
          </w:tcPr>
          <w:p>
            <w:pPr>
              <w:pStyle w:val="43"/>
              <w:spacing w:line="360" w:lineRule="auto"/>
              <w:jc w:val="center"/>
              <w:rPr>
                <w:rFonts w:ascii="宋体" w:hAnsi="宋体" w:cs="Arial"/>
                <w:color w:val="auto"/>
                <w:szCs w:val="21"/>
                <w:highlight w:val="none"/>
              </w:rPr>
            </w:pPr>
          </w:p>
        </w:tc>
        <w:tc>
          <w:tcPr>
            <w:tcW w:w="2260" w:type="dxa"/>
          </w:tcPr>
          <w:p>
            <w:pPr>
              <w:pStyle w:val="43"/>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hAnsi="宋体" w:cs="Arial"/>
                <w:color w:val="auto"/>
                <w:szCs w:val="21"/>
                <w:highlight w:val="none"/>
              </w:rPr>
            </w:pPr>
          </w:p>
        </w:tc>
        <w:tc>
          <w:tcPr>
            <w:tcW w:w="2258" w:type="dxa"/>
          </w:tcPr>
          <w:p>
            <w:pPr>
              <w:pStyle w:val="43"/>
              <w:spacing w:line="360" w:lineRule="auto"/>
              <w:jc w:val="center"/>
              <w:rPr>
                <w:rFonts w:ascii="宋体" w:hAnsi="宋体" w:cs="Arial"/>
                <w:color w:val="auto"/>
                <w:szCs w:val="21"/>
                <w:highlight w:val="none"/>
              </w:rPr>
            </w:pPr>
          </w:p>
        </w:tc>
        <w:tc>
          <w:tcPr>
            <w:tcW w:w="2260" w:type="dxa"/>
          </w:tcPr>
          <w:p>
            <w:pPr>
              <w:pStyle w:val="43"/>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hAnsi="宋体" w:cs="Arial"/>
                <w:color w:val="auto"/>
                <w:szCs w:val="21"/>
                <w:highlight w:val="none"/>
              </w:rPr>
            </w:pPr>
          </w:p>
        </w:tc>
        <w:tc>
          <w:tcPr>
            <w:tcW w:w="2258" w:type="dxa"/>
          </w:tcPr>
          <w:p>
            <w:pPr>
              <w:pStyle w:val="43"/>
              <w:spacing w:line="360" w:lineRule="auto"/>
              <w:jc w:val="center"/>
              <w:rPr>
                <w:rFonts w:ascii="宋体" w:hAnsi="宋体" w:cs="Arial"/>
                <w:color w:val="auto"/>
                <w:szCs w:val="21"/>
                <w:highlight w:val="none"/>
              </w:rPr>
            </w:pPr>
          </w:p>
        </w:tc>
        <w:tc>
          <w:tcPr>
            <w:tcW w:w="2260" w:type="dxa"/>
          </w:tcPr>
          <w:p>
            <w:pPr>
              <w:pStyle w:val="43"/>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3"/>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3"/>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3"/>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3"/>
              <w:spacing w:line="360" w:lineRule="auto"/>
              <w:jc w:val="center"/>
              <w:rPr>
                <w:rFonts w:ascii="宋体" w:hAnsi="宋体" w:cs="Arial"/>
                <w:color w:val="auto"/>
                <w:szCs w:val="21"/>
                <w:highlight w:val="none"/>
              </w:rPr>
            </w:pPr>
          </w:p>
        </w:tc>
      </w:tr>
    </w:tbl>
    <w:p>
      <w:pPr>
        <w:pStyle w:val="43"/>
        <w:tabs>
          <w:tab w:val="left" w:pos="1050"/>
        </w:tabs>
        <w:spacing w:line="360" w:lineRule="auto"/>
        <w:rPr>
          <w:rFonts w:ascii="仿宋_GB2312" w:hAnsi="宋体" w:eastAsia="仿宋_GB2312"/>
          <w:color w:val="auto"/>
          <w:sz w:val="24"/>
          <w:highlight w:val="none"/>
        </w:rPr>
      </w:pPr>
    </w:p>
    <w:p>
      <w:pPr>
        <w:pStyle w:val="43"/>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3"/>
        <w:tabs>
          <w:tab w:val="left" w:pos="1050"/>
        </w:tabs>
        <w:spacing w:line="360" w:lineRule="auto"/>
        <w:ind w:firstLine="720" w:firstLineChars="300"/>
        <w:rPr>
          <w:rFonts w:ascii="仿宋_GB2312" w:hAnsi="宋体" w:eastAsia="仿宋_GB2312"/>
          <w:color w:val="auto"/>
          <w:sz w:val="24"/>
          <w:highlight w:val="none"/>
        </w:rPr>
      </w:pPr>
    </w:p>
    <w:p>
      <w:pPr>
        <w:pStyle w:val="43"/>
        <w:tabs>
          <w:tab w:val="left" w:pos="1050"/>
        </w:tabs>
        <w:spacing w:line="360" w:lineRule="auto"/>
        <w:ind w:firstLine="720" w:firstLineChars="300"/>
        <w:rPr>
          <w:rFonts w:ascii="仿宋_GB2312" w:hAnsi="宋体" w:eastAsia="仿宋_GB2312"/>
          <w:color w:val="auto"/>
          <w:sz w:val="24"/>
          <w:highlight w:val="none"/>
        </w:rPr>
      </w:pPr>
    </w:p>
    <w:p>
      <w:pPr>
        <w:pStyle w:val="43"/>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9"/>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4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42"/>
        <w:spacing w:line="360" w:lineRule="auto"/>
        <w:jc w:val="center"/>
        <w:rPr>
          <w:rFonts w:ascii="仿宋_GB2312" w:eastAsia="仿宋_GB2312"/>
          <w:b/>
          <w:color w:val="auto"/>
          <w:sz w:val="28"/>
          <w:szCs w:val="28"/>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w:t>
      </w:r>
      <w:r>
        <w:rPr>
          <w:rFonts w:hint="eastAsia" w:ascii="宋体" w:hAnsi="宋体" w:cs="Arial"/>
          <w:color w:val="auto"/>
          <w:szCs w:val="21"/>
          <w:highlight w:val="none"/>
        </w:rPr>
        <w:t>提供合同复印件（如合同等不能说明业绩要求的，另须提供业主证明等证明资料）、报告封面和扉页。原件现场备查，否则不得分。</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spacing w:line="360" w:lineRule="auto"/>
        <w:ind w:right="-110"/>
        <w:jc w:val="left"/>
        <w:rPr>
          <w:rFonts w:ascii="宋体" w:hAnsi="宋体"/>
          <w:color w:val="auto"/>
          <w:spacing w:val="40"/>
          <w:sz w:val="52"/>
          <w:szCs w:val="52"/>
          <w:highlight w:val="none"/>
        </w:rPr>
      </w:pPr>
      <w:r>
        <w:rPr>
          <w:rFonts w:hint="eastAsia" w:ascii="宋体" w:hAnsi="宋体"/>
          <w:b/>
          <w:color w:val="auto"/>
          <w:sz w:val="28"/>
          <w:highlight w:val="none"/>
        </w:rPr>
        <w:t>附件12</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1、开标一览表（附件15）；</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2、报价明细表（附件16）；</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3、针对报价投标人认为其他需要说明的；</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4、小微企业等声明函（附件17）；</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5、产品适用政府采购政策情况表（附件18）</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附件13</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spacing w:line="360" w:lineRule="auto"/>
        <w:ind w:left="-2" w:hanging="2"/>
        <w:jc w:val="center"/>
        <w:rPr>
          <w:rFonts w:ascii="宋体" w:hAnsi="宋体"/>
          <w:b/>
          <w:color w:val="auto"/>
          <w:sz w:val="32"/>
          <w:szCs w:val="32"/>
          <w:highlight w:val="none"/>
        </w:rPr>
      </w:pPr>
    </w:p>
    <w:p>
      <w:pPr>
        <w:pStyle w:val="11"/>
        <w:spacing w:line="320" w:lineRule="exact"/>
        <w:rPr>
          <w:rFonts w:hAnsi="宋体"/>
          <w:b/>
          <w:color w:val="auto"/>
          <w:sz w:val="24"/>
          <w:highlight w:val="none"/>
        </w:rPr>
      </w:pPr>
      <w:r>
        <w:rPr>
          <w:rFonts w:hAnsi="宋体"/>
          <w:b/>
          <w:color w:val="auto"/>
          <w:sz w:val="24"/>
          <w:highlight w:val="none"/>
        </w:rPr>
        <w:t>项目编号：</w:t>
      </w:r>
    </w:p>
    <w:p>
      <w:pPr>
        <w:pStyle w:val="48"/>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105"/>
        <w:snapToGrid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1.投标总报价是、</w:t>
      </w:r>
      <w:r>
        <w:rPr>
          <w:rFonts w:ascii="宋体" w:hAnsi="宋体"/>
          <w:color w:val="auto"/>
          <w:sz w:val="24"/>
          <w:szCs w:val="24"/>
          <w:highlight w:val="none"/>
        </w:rPr>
        <w:t>本次监理费按中标监理费总报价一次性包死，不作任何调整（包括工程结算造价的变化）</w:t>
      </w:r>
      <w:r>
        <w:rPr>
          <w:rFonts w:hint="eastAsia" w:ascii="宋体" w:hAnsi="宋体"/>
          <w:color w:val="auto"/>
          <w:sz w:val="24"/>
          <w:szCs w:val="24"/>
          <w:highlight w:val="none"/>
        </w:rPr>
        <w:t>。等所需的全部费用。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附件14</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ascii="宋体" w:hAnsi="宋体"/>
          <w:color w:val="auto"/>
          <w:sz w:val="24"/>
          <w:highlight w:val="none"/>
        </w:rPr>
      </w:pPr>
      <w:r>
        <w:rPr>
          <w:rFonts w:hint="eastAsia" w:ascii="宋体" w:hAnsi="宋体"/>
          <w:color w:val="auto"/>
          <w:sz w:val="24"/>
          <w:highlight w:val="none"/>
        </w:rPr>
        <w:br w:type="page"/>
      </w:r>
    </w:p>
    <w:p>
      <w:pPr>
        <w:snapToGrid w:val="0"/>
        <w:spacing w:before="156" w:beforeLines="50" w:after="50" w:line="360" w:lineRule="auto"/>
        <w:rPr>
          <w:rFonts w:ascii="仿宋_GB2312" w:hAnsi="宋体"/>
          <w:bCs/>
          <w:color w:val="auto"/>
          <w:sz w:val="30"/>
          <w:szCs w:val="30"/>
          <w:highlight w:val="none"/>
        </w:rPr>
      </w:pPr>
      <w:r>
        <w:rPr>
          <w:rFonts w:hint="eastAsia" w:ascii="宋体" w:hAnsi="宋体"/>
          <w:b/>
          <w:color w:val="auto"/>
          <w:sz w:val="28"/>
          <w:highlight w:val="none"/>
        </w:rPr>
        <w:t>附件15</w:t>
      </w:r>
    </w:p>
    <w:p>
      <w:pP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小</w:t>
      </w:r>
      <w:r>
        <w:rPr>
          <w:rFonts w:hint="eastAsia" w:ascii="宋体" w:hAnsi="宋体"/>
          <w:b/>
          <w:color w:val="auto"/>
          <w:sz w:val="32"/>
          <w:szCs w:val="32"/>
          <w:highlight w:val="none"/>
          <w:lang w:val="en-GB"/>
        </w:rPr>
        <w:t>微</w:t>
      </w:r>
      <w:r>
        <w:rPr>
          <w:rFonts w:hint="eastAsia" w:ascii="宋体" w:hAnsi="宋体"/>
          <w:b/>
          <w:color w:val="auto"/>
          <w:sz w:val="32"/>
          <w:szCs w:val="32"/>
          <w:highlight w:val="none"/>
        </w:rPr>
        <w:t>企业声明函</w:t>
      </w:r>
    </w:p>
    <w:p>
      <w:pPr>
        <w:pStyle w:val="4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本公司郑重声明，根据《政府采购促进中小企业发展暂行办法》（财库[2011]181号）的规定，本公司为______（请填写：小型、微型）企业。即，本公司同时满足以下条件：</w:t>
      </w:r>
    </w:p>
    <w:p>
      <w:pPr>
        <w:pStyle w:val="4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rPr>
        <w:t>（此处填写从业人员和营业收入的具体数据）</w:t>
      </w:r>
      <w:r>
        <w:rPr>
          <w:rFonts w:hint="eastAsia" w:ascii="宋体" w:hAnsi="宋体"/>
          <w:color w:val="auto"/>
          <w:spacing w:val="6"/>
          <w:sz w:val="24"/>
          <w:highlight w:val="none"/>
        </w:rPr>
        <w:t>，为______（请填写：小型、微型）企业。</w:t>
      </w:r>
    </w:p>
    <w:p>
      <w:pPr>
        <w:pStyle w:val="4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w:t>
      </w:r>
      <w:r>
        <w:rPr>
          <w:rFonts w:hint="eastAsia" w:ascii="宋体" w:hAnsi="宋体"/>
          <w:color w:val="auto"/>
          <w:sz w:val="24"/>
          <w:highlight w:val="none"/>
        </w:rPr>
        <w:t>×××政府采购中心组织</w:t>
      </w:r>
      <w:r>
        <w:rPr>
          <w:rFonts w:hint="eastAsia" w:ascii="宋体" w:hAnsi="宋体"/>
          <w:color w:val="auto"/>
          <w:spacing w:val="6"/>
          <w:sz w:val="24"/>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4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49"/>
        <w:spacing w:line="360" w:lineRule="auto"/>
        <w:ind w:firstLine="504" w:firstLineChars="200"/>
        <w:rPr>
          <w:rFonts w:ascii="宋体" w:hAnsi="宋体"/>
          <w:color w:val="auto"/>
          <w:spacing w:val="6"/>
          <w:sz w:val="24"/>
          <w:highlight w:val="none"/>
        </w:rPr>
      </w:pPr>
    </w:p>
    <w:p>
      <w:pPr>
        <w:pStyle w:val="49"/>
        <w:spacing w:line="360" w:lineRule="auto"/>
        <w:ind w:left="4253" w:leftChars="2025"/>
        <w:rPr>
          <w:rFonts w:ascii="宋体" w:hAnsi="宋体"/>
          <w:color w:val="auto"/>
          <w:sz w:val="24"/>
          <w:highlight w:val="none"/>
        </w:rPr>
      </w:pPr>
      <w:r>
        <w:rPr>
          <w:rFonts w:hint="eastAsia" w:ascii="宋体" w:hAnsi="宋体"/>
          <w:color w:val="auto"/>
          <w:sz w:val="24"/>
          <w:highlight w:val="none"/>
        </w:rPr>
        <w:t>投标人名称（盖章）：</w:t>
      </w:r>
    </w:p>
    <w:p>
      <w:pPr>
        <w:pStyle w:val="49"/>
        <w:spacing w:line="360" w:lineRule="auto"/>
        <w:ind w:left="4253" w:leftChars="2025" w:right="360"/>
        <w:rPr>
          <w:rFonts w:ascii="宋体" w:hAnsi="宋体"/>
          <w:color w:val="auto"/>
          <w:spacing w:val="6"/>
          <w:sz w:val="24"/>
          <w:highlight w:val="none"/>
        </w:rPr>
      </w:pPr>
      <w:r>
        <w:rPr>
          <w:rFonts w:hint="eastAsia" w:ascii="宋体" w:hAnsi="宋体"/>
          <w:color w:val="auto"/>
          <w:sz w:val="24"/>
          <w:highlight w:val="none"/>
        </w:rPr>
        <w:t xml:space="preserve">日期： </w:t>
      </w:r>
      <w:r>
        <w:rPr>
          <w:rFonts w:hint="eastAsia" w:ascii="宋体" w:hAnsi="宋体" w:cstheme="minorBidi"/>
          <w:color w:val="auto"/>
          <w:sz w:val="24"/>
          <w:highlight w:val="none"/>
        </w:rPr>
        <w:t xml:space="preserve">    </w:t>
      </w:r>
      <w:r>
        <w:rPr>
          <w:rFonts w:hint="eastAsia" w:ascii="宋体" w:hAnsi="宋体" w:cs="Arial"/>
          <w:color w:val="auto"/>
          <w:sz w:val="24"/>
          <w:highlight w:val="none"/>
        </w:rPr>
        <w:t>年</w:t>
      </w:r>
      <w:r>
        <w:rPr>
          <w:rFonts w:hint="eastAsia" w:ascii="宋体" w:hAnsi="宋体"/>
          <w:color w:val="auto"/>
          <w:sz w:val="24"/>
          <w:highlight w:val="none"/>
        </w:rPr>
        <w:t xml:space="preserve"> </w:t>
      </w:r>
      <w:r>
        <w:rPr>
          <w:rFonts w:hint="eastAsia" w:ascii="宋体" w:hAnsi="宋体" w:cstheme="minorBidi"/>
          <w:color w:val="auto"/>
          <w:sz w:val="24"/>
          <w:highlight w:val="none"/>
        </w:rPr>
        <w:t xml:space="preserve">    </w:t>
      </w:r>
      <w:r>
        <w:rPr>
          <w:rFonts w:hint="eastAsia" w:ascii="宋体" w:hAnsi="宋体" w:cs="Arial"/>
          <w:color w:val="auto"/>
          <w:sz w:val="24"/>
          <w:highlight w:val="none"/>
        </w:rPr>
        <w:t>月</w:t>
      </w:r>
      <w:r>
        <w:rPr>
          <w:rFonts w:hint="eastAsia" w:ascii="宋体" w:hAnsi="宋体"/>
          <w:color w:val="auto"/>
          <w:sz w:val="24"/>
          <w:highlight w:val="none"/>
        </w:rPr>
        <w:t xml:space="preserve"> </w:t>
      </w:r>
      <w:r>
        <w:rPr>
          <w:rFonts w:hint="eastAsia" w:ascii="宋体" w:hAnsi="宋体" w:cstheme="minorBidi"/>
          <w:color w:val="auto"/>
          <w:sz w:val="24"/>
          <w:highlight w:val="none"/>
        </w:rPr>
        <w:t xml:space="preserve">    </w:t>
      </w:r>
      <w:r>
        <w:rPr>
          <w:rFonts w:hint="eastAsia" w:ascii="宋体" w:hAnsi="宋体" w:cs="Arial"/>
          <w:color w:val="auto"/>
          <w:sz w:val="24"/>
          <w:highlight w:val="none"/>
        </w:rPr>
        <w:t>日</w:t>
      </w:r>
    </w:p>
    <w:p>
      <w:pPr>
        <w:pStyle w:val="49"/>
        <w:spacing w:line="360" w:lineRule="auto"/>
        <w:rPr>
          <w:rFonts w:ascii="宋体" w:hAnsi="宋体"/>
          <w:color w:val="auto"/>
          <w:sz w:val="24"/>
          <w:highlight w:val="none"/>
        </w:rPr>
      </w:pPr>
    </w:p>
    <w:p>
      <w:pPr>
        <w:spacing w:line="360" w:lineRule="auto"/>
        <w:ind w:right="-110"/>
        <w:jc w:val="center"/>
        <w:rPr>
          <w:rFonts w:ascii="宋体" w:hAnsi="宋体" w:cs="宋体"/>
          <w:b/>
          <w:color w:val="auto"/>
          <w:sz w:val="24"/>
          <w:highlight w:val="none"/>
        </w:rPr>
      </w:pPr>
      <w:r>
        <w:rPr>
          <w:rFonts w:hint="eastAsia" w:ascii="宋体" w:hAnsi="宋体" w:cs="宋体"/>
          <w:b/>
          <w:color w:val="auto"/>
          <w:sz w:val="24"/>
          <w:highlight w:val="none"/>
        </w:rPr>
        <w:t>“国家企业信用信息公示系统---小微企业名录”页面查询结果</w:t>
      </w:r>
    </w:p>
    <w:p>
      <w:pPr>
        <w:spacing w:line="360" w:lineRule="auto"/>
        <w:ind w:right="-110"/>
        <w:jc w:val="center"/>
        <w:rPr>
          <w:rFonts w:ascii="宋体" w:hAnsi="宋体" w:cs="宋体"/>
          <w:b/>
          <w:color w:val="auto"/>
          <w:sz w:val="24"/>
          <w:highlight w:val="none"/>
        </w:rPr>
      </w:pPr>
      <w:r>
        <w:rPr>
          <w:rFonts w:hint="eastAsia" w:ascii="宋体" w:hAnsi="宋体" w:cs="宋体"/>
          <w:b/>
          <w:color w:val="auto"/>
          <w:sz w:val="24"/>
          <w:highlight w:val="none"/>
        </w:rPr>
        <w:t>参考格式</w:t>
      </w:r>
    </w:p>
    <w:p>
      <w:pPr>
        <w:spacing w:before="312" w:beforeLines="100" w:line="440" w:lineRule="atLeast"/>
        <w:ind w:firstLine="420" w:firstLineChars="200"/>
        <w:jc w:val="left"/>
        <w:rPr>
          <w:rFonts w:ascii="宋体" w:hAnsi="宋体" w:cs="宋体"/>
          <w:color w:val="auto"/>
          <w:sz w:val="22"/>
          <w:szCs w:val="22"/>
          <w:highlight w:val="none"/>
        </w:rPr>
      </w:pPr>
      <w:r>
        <w:rPr>
          <w:color w:val="auto"/>
          <w:highlight w:val="none"/>
        </w:rPr>
        <w:drawing>
          <wp:inline distT="0" distB="0" distL="114300" distR="114300">
            <wp:extent cx="4878705" cy="1543050"/>
            <wp:effectExtent l="0" t="0" r="1714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878705" cy="1543050"/>
                    </a:xfrm>
                    <a:prstGeom prst="rect">
                      <a:avLst/>
                    </a:prstGeom>
                    <a:noFill/>
                    <a:ln>
                      <a:noFill/>
                    </a:ln>
                  </pic:spPr>
                </pic:pic>
              </a:graphicData>
            </a:graphic>
          </wp:inline>
        </w:drawing>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2"/>
        <w:rPr>
          <w:color w:val="auto"/>
          <w:highlight w:val="none"/>
        </w:rPr>
      </w:pPr>
    </w:p>
    <w:p>
      <w:pP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投标人名称（盖章）：</w:t>
      </w:r>
    </w:p>
    <w:p>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日期：     年     月     日</w:t>
      </w: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pStyle w:val="49"/>
        <w:spacing w:line="360" w:lineRule="auto"/>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pStyle w:val="49"/>
        <w:spacing w:line="360" w:lineRule="auto"/>
        <w:rPr>
          <w:rFonts w:ascii="宋体" w:hAnsi="宋体"/>
          <w:b/>
          <w:color w:val="auto"/>
          <w:sz w:val="28"/>
          <w:szCs w:val="28"/>
          <w:highlight w:val="none"/>
        </w:rPr>
      </w:pPr>
      <w:r>
        <w:rPr>
          <w:rFonts w:hint="eastAsia" w:ascii="宋体" w:hAnsi="宋体"/>
          <w:b/>
          <w:color w:val="auto"/>
          <w:sz w:val="28"/>
          <w:szCs w:val="28"/>
          <w:highlight w:val="none"/>
        </w:rPr>
        <w:t>附件16</w:t>
      </w:r>
    </w:p>
    <w:p>
      <w:pPr>
        <w:pStyle w:val="50"/>
        <w:spacing w:line="360" w:lineRule="auto"/>
        <w:rPr>
          <w:color w:val="auto"/>
          <w:highlight w:val="none"/>
        </w:rPr>
      </w:pPr>
    </w:p>
    <w:p>
      <w:pPr>
        <w:pStyle w:val="47"/>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产品适用政府采购政策情况表</w:t>
      </w:r>
    </w:p>
    <w:p>
      <w:pPr>
        <w:pStyle w:val="47"/>
        <w:spacing w:line="360" w:lineRule="auto"/>
        <w:jc w:val="center"/>
        <w:rPr>
          <w:rFonts w:ascii="宋体" w:hAnsi="宋体"/>
          <w:b/>
          <w:color w:val="auto"/>
          <w:sz w:val="32"/>
          <w:szCs w:val="32"/>
          <w:highlight w:val="none"/>
          <w:lang w:val="en-GB"/>
        </w:rPr>
      </w:pPr>
    </w:p>
    <w:tbl>
      <w:tblPr>
        <w:tblStyle w:val="21"/>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800"/>
        <w:gridCol w:w="2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86" w:type="dxa"/>
            <w:vMerge w:val="restart"/>
            <w:vAlign w:val="center"/>
          </w:tcPr>
          <w:p>
            <w:pPr>
              <w:pStyle w:val="4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小微企业扶持政策</w:t>
            </w:r>
          </w:p>
        </w:tc>
        <w:tc>
          <w:tcPr>
            <w:tcW w:w="7093" w:type="dxa"/>
            <w:gridSpan w:val="3"/>
            <w:vAlign w:val="center"/>
          </w:tcPr>
          <w:p>
            <w:pPr>
              <w:pStyle w:val="47"/>
              <w:tabs>
                <w:tab w:val="left" w:pos="1260"/>
              </w:tabs>
              <w:spacing w:line="360" w:lineRule="auto"/>
              <w:rPr>
                <w:rFonts w:ascii="宋体" w:hAnsi="宋体"/>
                <w:color w:val="auto"/>
                <w:sz w:val="24"/>
                <w:highlight w:val="none"/>
              </w:rPr>
            </w:pPr>
            <w:r>
              <w:rPr>
                <w:rFonts w:hint="eastAsia" w:ascii="宋体" w:hAnsi="宋体"/>
                <w:b/>
                <w:bCs/>
                <w:color w:val="auto"/>
                <w:sz w:val="24"/>
                <w:highlight w:val="none"/>
              </w:rPr>
              <w:t>小型、微型企业投标且所投产品（指货物、工程、服务）由本企业制造，或者所投产品（仅指货物）含有其他小型、微型企业制造的，应</w:t>
            </w:r>
            <w:r>
              <w:rPr>
                <w:rFonts w:hint="eastAsia" w:ascii="宋体" w:hAnsi="宋体"/>
                <w:b/>
                <w:bCs/>
                <w:color w:val="auto"/>
                <w:sz w:val="24"/>
                <w:highlight w:val="none"/>
                <w:lang w:val="en-GB"/>
              </w:rPr>
              <w:t>按要求列出具体产品与金额。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7"/>
              <w:tabs>
                <w:tab w:val="left" w:pos="1260"/>
              </w:tabs>
              <w:jc w:val="center"/>
              <w:rPr>
                <w:rFonts w:ascii="宋体" w:hAnsi="宋体"/>
                <w:color w:val="auto"/>
                <w:sz w:val="24"/>
                <w:highlight w:val="none"/>
                <w:lang w:val="en-GB"/>
              </w:rPr>
            </w:pPr>
          </w:p>
        </w:tc>
        <w:tc>
          <w:tcPr>
            <w:tcW w:w="2800" w:type="dxa"/>
            <w:vAlign w:val="center"/>
          </w:tcPr>
          <w:p>
            <w:pPr>
              <w:pStyle w:val="4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产品名称（品牌、型号）</w:t>
            </w:r>
          </w:p>
        </w:tc>
        <w:tc>
          <w:tcPr>
            <w:tcW w:w="2874" w:type="dxa"/>
            <w:vAlign w:val="center"/>
          </w:tcPr>
          <w:p>
            <w:pPr>
              <w:pStyle w:val="4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制造企业名称</w:t>
            </w:r>
          </w:p>
        </w:tc>
        <w:tc>
          <w:tcPr>
            <w:tcW w:w="1419" w:type="dxa"/>
            <w:vAlign w:val="center"/>
          </w:tcPr>
          <w:p>
            <w:pPr>
              <w:pStyle w:val="4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7"/>
              <w:tabs>
                <w:tab w:val="left" w:pos="1260"/>
              </w:tabs>
              <w:jc w:val="center"/>
              <w:rPr>
                <w:rFonts w:ascii="宋体" w:hAnsi="宋体"/>
                <w:color w:val="auto"/>
                <w:sz w:val="24"/>
                <w:highlight w:val="none"/>
                <w:lang w:val="en-GB"/>
              </w:rPr>
            </w:pPr>
          </w:p>
        </w:tc>
        <w:tc>
          <w:tcPr>
            <w:tcW w:w="2800" w:type="dxa"/>
            <w:vAlign w:val="center"/>
          </w:tcPr>
          <w:p>
            <w:pPr>
              <w:pStyle w:val="47"/>
              <w:tabs>
                <w:tab w:val="left" w:pos="1260"/>
              </w:tabs>
              <w:jc w:val="center"/>
              <w:rPr>
                <w:rFonts w:ascii="宋体" w:hAnsi="宋体"/>
                <w:color w:val="auto"/>
                <w:sz w:val="24"/>
                <w:highlight w:val="none"/>
                <w:lang w:val="en-GB"/>
              </w:rPr>
            </w:pPr>
          </w:p>
        </w:tc>
        <w:tc>
          <w:tcPr>
            <w:tcW w:w="2874" w:type="dxa"/>
            <w:vAlign w:val="center"/>
          </w:tcPr>
          <w:p>
            <w:pPr>
              <w:pStyle w:val="47"/>
              <w:tabs>
                <w:tab w:val="left" w:pos="1260"/>
              </w:tabs>
              <w:jc w:val="center"/>
              <w:rPr>
                <w:rFonts w:ascii="宋体" w:hAnsi="宋体"/>
                <w:color w:val="auto"/>
                <w:sz w:val="24"/>
                <w:highlight w:val="none"/>
                <w:lang w:val="en-GB"/>
              </w:rPr>
            </w:pPr>
          </w:p>
        </w:tc>
        <w:tc>
          <w:tcPr>
            <w:tcW w:w="1419" w:type="dxa"/>
            <w:vAlign w:val="center"/>
          </w:tcPr>
          <w:p>
            <w:pPr>
              <w:pStyle w:val="47"/>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7"/>
              <w:tabs>
                <w:tab w:val="left" w:pos="1260"/>
              </w:tabs>
              <w:jc w:val="center"/>
              <w:rPr>
                <w:rFonts w:ascii="宋体" w:hAnsi="宋体"/>
                <w:color w:val="auto"/>
                <w:sz w:val="24"/>
                <w:highlight w:val="none"/>
                <w:lang w:val="en-GB"/>
              </w:rPr>
            </w:pPr>
          </w:p>
        </w:tc>
        <w:tc>
          <w:tcPr>
            <w:tcW w:w="2800" w:type="dxa"/>
            <w:vAlign w:val="center"/>
          </w:tcPr>
          <w:p>
            <w:pPr>
              <w:pStyle w:val="47"/>
              <w:tabs>
                <w:tab w:val="left" w:pos="1260"/>
              </w:tabs>
              <w:jc w:val="center"/>
              <w:rPr>
                <w:rFonts w:ascii="宋体" w:hAnsi="宋体"/>
                <w:color w:val="auto"/>
                <w:sz w:val="24"/>
                <w:highlight w:val="none"/>
                <w:lang w:val="en-GB"/>
              </w:rPr>
            </w:pPr>
          </w:p>
        </w:tc>
        <w:tc>
          <w:tcPr>
            <w:tcW w:w="2874" w:type="dxa"/>
            <w:vAlign w:val="center"/>
          </w:tcPr>
          <w:p>
            <w:pPr>
              <w:pStyle w:val="47"/>
              <w:tabs>
                <w:tab w:val="left" w:pos="1260"/>
              </w:tabs>
              <w:jc w:val="center"/>
              <w:rPr>
                <w:rFonts w:ascii="宋体" w:hAnsi="宋体"/>
                <w:color w:val="auto"/>
                <w:sz w:val="24"/>
                <w:highlight w:val="none"/>
                <w:lang w:val="en-GB"/>
              </w:rPr>
            </w:pPr>
          </w:p>
        </w:tc>
        <w:tc>
          <w:tcPr>
            <w:tcW w:w="1419" w:type="dxa"/>
            <w:vAlign w:val="center"/>
          </w:tcPr>
          <w:p>
            <w:pPr>
              <w:pStyle w:val="47"/>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7"/>
              <w:tabs>
                <w:tab w:val="left" w:pos="1260"/>
              </w:tabs>
              <w:jc w:val="center"/>
              <w:rPr>
                <w:rFonts w:ascii="宋体" w:hAnsi="宋体"/>
                <w:color w:val="auto"/>
                <w:sz w:val="24"/>
                <w:highlight w:val="none"/>
                <w:lang w:val="en-GB"/>
              </w:rPr>
            </w:pPr>
          </w:p>
        </w:tc>
        <w:tc>
          <w:tcPr>
            <w:tcW w:w="2800" w:type="dxa"/>
            <w:vAlign w:val="center"/>
          </w:tcPr>
          <w:p>
            <w:pPr>
              <w:pStyle w:val="47"/>
              <w:tabs>
                <w:tab w:val="left" w:pos="1260"/>
              </w:tabs>
              <w:jc w:val="center"/>
              <w:rPr>
                <w:rFonts w:ascii="宋体" w:hAnsi="宋体"/>
                <w:color w:val="auto"/>
                <w:sz w:val="24"/>
                <w:highlight w:val="none"/>
                <w:lang w:val="en-GB"/>
              </w:rPr>
            </w:pPr>
          </w:p>
        </w:tc>
        <w:tc>
          <w:tcPr>
            <w:tcW w:w="2874" w:type="dxa"/>
            <w:vAlign w:val="center"/>
          </w:tcPr>
          <w:p>
            <w:pPr>
              <w:pStyle w:val="47"/>
              <w:tabs>
                <w:tab w:val="left" w:pos="1260"/>
              </w:tabs>
              <w:jc w:val="center"/>
              <w:rPr>
                <w:rFonts w:ascii="宋体" w:hAnsi="宋体"/>
                <w:color w:val="auto"/>
                <w:sz w:val="24"/>
                <w:highlight w:val="none"/>
                <w:lang w:val="en-GB"/>
              </w:rPr>
            </w:pPr>
          </w:p>
        </w:tc>
        <w:tc>
          <w:tcPr>
            <w:tcW w:w="1419" w:type="dxa"/>
            <w:vAlign w:val="center"/>
          </w:tcPr>
          <w:p>
            <w:pPr>
              <w:pStyle w:val="47"/>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6" w:type="dxa"/>
            <w:vMerge w:val="continue"/>
            <w:vAlign w:val="center"/>
          </w:tcPr>
          <w:p>
            <w:pPr>
              <w:pStyle w:val="47"/>
              <w:tabs>
                <w:tab w:val="left" w:pos="1260"/>
              </w:tabs>
              <w:jc w:val="center"/>
              <w:rPr>
                <w:rFonts w:ascii="宋体" w:hAnsi="宋体"/>
                <w:color w:val="auto"/>
                <w:sz w:val="24"/>
                <w:highlight w:val="none"/>
                <w:lang w:val="en-GB"/>
              </w:rPr>
            </w:pPr>
          </w:p>
        </w:tc>
        <w:tc>
          <w:tcPr>
            <w:tcW w:w="5674" w:type="dxa"/>
            <w:gridSpan w:val="2"/>
            <w:vAlign w:val="center"/>
          </w:tcPr>
          <w:p>
            <w:pPr>
              <w:pStyle w:val="47"/>
              <w:tabs>
                <w:tab w:val="left" w:pos="1260"/>
              </w:tabs>
              <w:jc w:val="center"/>
              <w:rPr>
                <w:rFonts w:ascii="宋体" w:hAnsi="宋体"/>
                <w:color w:val="auto"/>
                <w:sz w:val="24"/>
                <w:highlight w:val="none"/>
                <w:lang w:val="en-GB"/>
              </w:rPr>
            </w:pPr>
            <w:r>
              <w:rPr>
                <w:rFonts w:hint="eastAsia" w:ascii="宋体" w:hAnsi="宋体"/>
                <w:color w:val="auto"/>
                <w:sz w:val="24"/>
                <w:highlight w:val="none"/>
              </w:rPr>
              <w:t>小型、微型企业产品</w:t>
            </w:r>
            <w:r>
              <w:rPr>
                <w:rFonts w:hint="eastAsia" w:ascii="宋体" w:hAnsi="宋体"/>
                <w:color w:val="auto"/>
                <w:sz w:val="24"/>
                <w:highlight w:val="none"/>
                <w:lang w:val="en-GB"/>
              </w:rPr>
              <w:t>金额合计（元）</w:t>
            </w:r>
          </w:p>
          <w:p>
            <w:pPr>
              <w:rPr>
                <w:color w:val="auto"/>
                <w:highlight w:val="none"/>
              </w:rPr>
            </w:pPr>
          </w:p>
        </w:tc>
        <w:tc>
          <w:tcPr>
            <w:tcW w:w="1419" w:type="dxa"/>
            <w:vAlign w:val="center"/>
          </w:tcPr>
          <w:p>
            <w:pPr>
              <w:pStyle w:val="47"/>
              <w:tabs>
                <w:tab w:val="left" w:pos="1260"/>
              </w:tabs>
              <w:jc w:val="center"/>
              <w:rPr>
                <w:rFonts w:ascii="宋体" w:hAnsi="宋体"/>
                <w:color w:val="auto"/>
                <w:sz w:val="24"/>
                <w:highlight w:val="none"/>
                <w:lang w:val="en-GB"/>
              </w:rPr>
            </w:pPr>
          </w:p>
        </w:tc>
      </w:tr>
    </w:tbl>
    <w:p>
      <w:pPr>
        <w:pStyle w:val="47"/>
        <w:spacing w:line="360" w:lineRule="auto"/>
        <w:rPr>
          <w:rFonts w:ascii="宋体" w:hAnsi="宋体"/>
          <w:color w:val="auto"/>
          <w:szCs w:val="21"/>
          <w:highlight w:val="none"/>
          <w:lang w:val="en-GB"/>
        </w:rPr>
      </w:pPr>
    </w:p>
    <w:p>
      <w:pPr>
        <w:pStyle w:val="47"/>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47"/>
        <w:widowControl/>
        <w:numPr>
          <w:ilvl w:val="0"/>
          <w:numId w:val="9"/>
        </w:numPr>
        <w:spacing w:line="360" w:lineRule="auto"/>
        <w:ind w:right="84" w:rightChars="40"/>
        <w:jc w:val="left"/>
        <w:rPr>
          <w:rFonts w:ascii="宋体" w:hAnsi="宋体"/>
          <w:color w:val="auto"/>
          <w:szCs w:val="21"/>
          <w:highlight w:val="none"/>
        </w:rPr>
      </w:pPr>
      <w:r>
        <w:rPr>
          <w:rFonts w:hint="eastAsia" w:ascii="宋体" w:hAnsi="宋体"/>
          <w:color w:val="auto"/>
          <w:szCs w:val="21"/>
          <w:highlight w:val="none"/>
          <w:lang w:val="en-GB"/>
        </w:rPr>
        <w:t>本表的产品名称、规格型号和注册商标、金额要与《报价明细表》一致。</w:t>
      </w:r>
    </w:p>
    <w:p>
      <w:pPr>
        <w:pStyle w:val="47"/>
        <w:widowControl/>
        <w:numPr>
          <w:ilvl w:val="0"/>
          <w:numId w:val="9"/>
        </w:numPr>
        <w:spacing w:line="360" w:lineRule="auto"/>
        <w:ind w:right="84" w:rightChars="40"/>
        <w:jc w:val="left"/>
        <w:rPr>
          <w:rFonts w:ascii="宋体" w:hAnsi="宋体"/>
          <w:color w:val="auto"/>
          <w:szCs w:val="21"/>
          <w:highlight w:val="none"/>
        </w:rPr>
      </w:pPr>
      <w:r>
        <w:rPr>
          <w:rFonts w:hint="eastAsia" w:ascii="宋体" w:hAnsi="宋体"/>
          <w:color w:val="auto"/>
          <w:szCs w:val="21"/>
          <w:highlight w:val="none"/>
          <w:lang w:val="en-GB"/>
        </w:rPr>
        <w:t>制造商为小型或微型企业时才需要填“制造商企业类型”栏，填写内容为“小型”或“微型”。</w:t>
      </w:r>
    </w:p>
    <w:p>
      <w:pPr>
        <w:pStyle w:val="47"/>
        <w:widowControl/>
        <w:tabs>
          <w:tab w:val="left" w:pos="360"/>
        </w:tabs>
        <w:spacing w:line="360" w:lineRule="auto"/>
        <w:ind w:right="84" w:rightChars="40"/>
        <w:jc w:val="left"/>
        <w:rPr>
          <w:rFonts w:ascii="宋体" w:hAnsi="宋体"/>
          <w:color w:val="auto"/>
          <w:sz w:val="28"/>
          <w:szCs w:val="28"/>
          <w:highlight w:val="none"/>
        </w:rPr>
      </w:pP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pP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玉环市政府采购招标文件                                                            第</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separate"/>
    </w:r>
    <w:r>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t>51</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页共</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separate"/>
    </w:r>
    <w:r>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t>54</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页</w:t>
    </w:r>
  </w:p>
  <w:p>
    <w:pPr>
      <w:pStyle w:val="15"/>
      <w:rPr>
        <w:rFonts w:asciiTheme="minorEastAsia" w:hAnsiTheme="minorEastAsia" w:eastAsiaTheme="minorEastAsia" w:cstheme="minorEastAsia"/>
        <w:bCs/>
        <w:i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1482775B"/>
    <w:multiLevelType w:val="multilevel"/>
    <w:tmpl w:val="1482775B"/>
    <w:lvl w:ilvl="0" w:tentative="0">
      <w:start w:val="1"/>
      <w:numFmt w:val="decimal"/>
      <w:pStyle w:val="4"/>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41772B59"/>
    <w:multiLevelType w:val="multilevel"/>
    <w:tmpl w:val="41772B59"/>
    <w:lvl w:ilvl="0" w:tentative="0">
      <w:start w:val="1"/>
      <w:numFmt w:val="bullet"/>
      <w:pStyle w:val="101"/>
      <w:lvlText w:val=""/>
      <w:lvlJc w:val="left"/>
      <w:pPr>
        <w:tabs>
          <w:tab w:val="left" w:pos="840"/>
        </w:tabs>
        <w:ind w:left="840" w:hanging="420"/>
      </w:pPr>
      <w:rPr>
        <w:rFonts w:hint="default" w:ascii="Wingdings" w:hAnsi="Wingdings" w:cs="Wingdings"/>
        <w:color w:val="000000"/>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8">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4"/>
  </w:num>
  <w:num w:numId="2">
    <w:abstractNumId w:val="1"/>
  </w:num>
  <w:num w:numId="3">
    <w:abstractNumId w:val="5"/>
  </w:num>
  <w:num w:numId="4">
    <w:abstractNumId w:val="7"/>
  </w:num>
  <w:num w:numId="5">
    <w:abstractNumId w:val="6"/>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280F"/>
    <w:rsid w:val="000128E0"/>
    <w:rsid w:val="000206BD"/>
    <w:rsid w:val="00032983"/>
    <w:rsid w:val="0004511D"/>
    <w:rsid w:val="0006294D"/>
    <w:rsid w:val="00062AB3"/>
    <w:rsid w:val="00073AAD"/>
    <w:rsid w:val="0007576F"/>
    <w:rsid w:val="00094BE3"/>
    <w:rsid w:val="00095A8F"/>
    <w:rsid w:val="000977DA"/>
    <w:rsid w:val="000B7665"/>
    <w:rsid w:val="000C32BA"/>
    <w:rsid w:val="000E1B31"/>
    <w:rsid w:val="000E60D4"/>
    <w:rsid w:val="00107BF6"/>
    <w:rsid w:val="001277D2"/>
    <w:rsid w:val="00130E5F"/>
    <w:rsid w:val="00152DE1"/>
    <w:rsid w:val="00165F2A"/>
    <w:rsid w:val="001722A3"/>
    <w:rsid w:val="00174CCD"/>
    <w:rsid w:val="001A2FBD"/>
    <w:rsid w:val="001C1A64"/>
    <w:rsid w:val="001C65F2"/>
    <w:rsid w:val="001E57D2"/>
    <w:rsid w:val="002013DA"/>
    <w:rsid w:val="00201D62"/>
    <w:rsid w:val="0021318F"/>
    <w:rsid w:val="00216850"/>
    <w:rsid w:val="002348B8"/>
    <w:rsid w:val="002647BD"/>
    <w:rsid w:val="002A1620"/>
    <w:rsid w:val="002F7BCC"/>
    <w:rsid w:val="003102FB"/>
    <w:rsid w:val="00332E30"/>
    <w:rsid w:val="003728BD"/>
    <w:rsid w:val="003C04D2"/>
    <w:rsid w:val="003C55C9"/>
    <w:rsid w:val="003C5E00"/>
    <w:rsid w:val="003D700C"/>
    <w:rsid w:val="003E1759"/>
    <w:rsid w:val="003F595C"/>
    <w:rsid w:val="003F78E0"/>
    <w:rsid w:val="00410394"/>
    <w:rsid w:val="00440848"/>
    <w:rsid w:val="00441FAE"/>
    <w:rsid w:val="00446CEF"/>
    <w:rsid w:val="0046392C"/>
    <w:rsid w:val="004843E2"/>
    <w:rsid w:val="0048448B"/>
    <w:rsid w:val="004910E9"/>
    <w:rsid w:val="00491BDF"/>
    <w:rsid w:val="00497390"/>
    <w:rsid w:val="004A0E0E"/>
    <w:rsid w:val="004A39CB"/>
    <w:rsid w:val="004B4165"/>
    <w:rsid w:val="004F33CB"/>
    <w:rsid w:val="005144EF"/>
    <w:rsid w:val="00537072"/>
    <w:rsid w:val="00570033"/>
    <w:rsid w:val="00572F66"/>
    <w:rsid w:val="00573613"/>
    <w:rsid w:val="005D7786"/>
    <w:rsid w:val="00601DB7"/>
    <w:rsid w:val="00603526"/>
    <w:rsid w:val="00616E31"/>
    <w:rsid w:val="00635F52"/>
    <w:rsid w:val="00655E3C"/>
    <w:rsid w:val="00664129"/>
    <w:rsid w:val="00674C42"/>
    <w:rsid w:val="006960CA"/>
    <w:rsid w:val="006C78FA"/>
    <w:rsid w:val="006F4DFE"/>
    <w:rsid w:val="006F6B57"/>
    <w:rsid w:val="007308B9"/>
    <w:rsid w:val="00736F4F"/>
    <w:rsid w:val="00750C01"/>
    <w:rsid w:val="00784D7E"/>
    <w:rsid w:val="007A0BB9"/>
    <w:rsid w:val="007A2629"/>
    <w:rsid w:val="007A55B8"/>
    <w:rsid w:val="007B4D13"/>
    <w:rsid w:val="007C1005"/>
    <w:rsid w:val="007C74B7"/>
    <w:rsid w:val="007D4118"/>
    <w:rsid w:val="007D73C7"/>
    <w:rsid w:val="007E3F7E"/>
    <w:rsid w:val="007F303F"/>
    <w:rsid w:val="00802325"/>
    <w:rsid w:val="00803982"/>
    <w:rsid w:val="00810B61"/>
    <w:rsid w:val="00813A81"/>
    <w:rsid w:val="008140C3"/>
    <w:rsid w:val="0082291E"/>
    <w:rsid w:val="00847BE5"/>
    <w:rsid w:val="00850E45"/>
    <w:rsid w:val="00870C75"/>
    <w:rsid w:val="0088066B"/>
    <w:rsid w:val="00886E4A"/>
    <w:rsid w:val="008D0714"/>
    <w:rsid w:val="008D3A3D"/>
    <w:rsid w:val="008E35A3"/>
    <w:rsid w:val="0090012B"/>
    <w:rsid w:val="00902653"/>
    <w:rsid w:val="00912983"/>
    <w:rsid w:val="00915B72"/>
    <w:rsid w:val="00921F0A"/>
    <w:rsid w:val="00926F3A"/>
    <w:rsid w:val="0093502A"/>
    <w:rsid w:val="00940D55"/>
    <w:rsid w:val="00945190"/>
    <w:rsid w:val="00953816"/>
    <w:rsid w:val="00957008"/>
    <w:rsid w:val="0097760C"/>
    <w:rsid w:val="00984039"/>
    <w:rsid w:val="00985E3B"/>
    <w:rsid w:val="009A49F6"/>
    <w:rsid w:val="009B3E22"/>
    <w:rsid w:val="009D64ED"/>
    <w:rsid w:val="009F3459"/>
    <w:rsid w:val="00A128BC"/>
    <w:rsid w:val="00A30B75"/>
    <w:rsid w:val="00A67321"/>
    <w:rsid w:val="00A730CA"/>
    <w:rsid w:val="00A91A12"/>
    <w:rsid w:val="00AD086F"/>
    <w:rsid w:val="00AD598A"/>
    <w:rsid w:val="00AF082F"/>
    <w:rsid w:val="00B00AD0"/>
    <w:rsid w:val="00B14B8A"/>
    <w:rsid w:val="00B33B3A"/>
    <w:rsid w:val="00B65145"/>
    <w:rsid w:val="00B840A2"/>
    <w:rsid w:val="00B84BB5"/>
    <w:rsid w:val="00B91FB7"/>
    <w:rsid w:val="00B97C8D"/>
    <w:rsid w:val="00BA35AA"/>
    <w:rsid w:val="00BE0605"/>
    <w:rsid w:val="00C002DC"/>
    <w:rsid w:val="00C141DE"/>
    <w:rsid w:val="00C415AE"/>
    <w:rsid w:val="00C51936"/>
    <w:rsid w:val="00C52E14"/>
    <w:rsid w:val="00C54F22"/>
    <w:rsid w:val="00C556A7"/>
    <w:rsid w:val="00C5648C"/>
    <w:rsid w:val="00C767D4"/>
    <w:rsid w:val="00C81D5A"/>
    <w:rsid w:val="00CC232E"/>
    <w:rsid w:val="00CC29B4"/>
    <w:rsid w:val="00CD1804"/>
    <w:rsid w:val="00CD3D80"/>
    <w:rsid w:val="00CF1D3A"/>
    <w:rsid w:val="00CF2B51"/>
    <w:rsid w:val="00D17DEA"/>
    <w:rsid w:val="00D50D48"/>
    <w:rsid w:val="00D84962"/>
    <w:rsid w:val="00DC47DA"/>
    <w:rsid w:val="00DE6C56"/>
    <w:rsid w:val="00E12BED"/>
    <w:rsid w:val="00E25A81"/>
    <w:rsid w:val="00E319E7"/>
    <w:rsid w:val="00E36C4F"/>
    <w:rsid w:val="00E41A5E"/>
    <w:rsid w:val="00E84EA8"/>
    <w:rsid w:val="00E94954"/>
    <w:rsid w:val="00EA1958"/>
    <w:rsid w:val="00EA36D6"/>
    <w:rsid w:val="00EA46F5"/>
    <w:rsid w:val="00EF2797"/>
    <w:rsid w:val="00F04920"/>
    <w:rsid w:val="00F127FF"/>
    <w:rsid w:val="00F25E81"/>
    <w:rsid w:val="00F47E90"/>
    <w:rsid w:val="00F829E1"/>
    <w:rsid w:val="00F91E4F"/>
    <w:rsid w:val="00FB5F26"/>
    <w:rsid w:val="00FC41E3"/>
    <w:rsid w:val="00FC5FEC"/>
    <w:rsid w:val="00FE72BA"/>
    <w:rsid w:val="00FF59BA"/>
    <w:rsid w:val="01183CBF"/>
    <w:rsid w:val="01464B61"/>
    <w:rsid w:val="01935887"/>
    <w:rsid w:val="01962C9F"/>
    <w:rsid w:val="01AD5043"/>
    <w:rsid w:val="01AF7323"/>
    <w:rsid w:val="027E26E5"/>
    <w:rsid w:val="03D16390"/>
    <w:rsid w:val="047832BE"/>
    <w:rsid w:val="04CC341D"/>
    <w:rsid w:val="05137CD7"/>
    <w:rsid w:val="05C340C1"/>
    <w:rsid w:val="060B26E0"/>
    <w:rsid w:val="065A7E98"/>
    <w:rsid w:val="068E6C3D"/>
    <w:rsid w:val="073C2287"/>
    <w:rsid w:val="07424EE0"/>
    <w:rsid w:val="07504E39"/>
    <w:rsid w:val="077B289D"/>
    <w:rsid w:val="07B42829"/>
    <w:rsid w:val="082C0DD3"/>
    <w:rsid w:val="088B0BF4"/>
    <w:rsid w:val="089B56F2"/>
    <w:rsid w:val="095204DA"/>
    <w:rsid w:val="0A5C7382"/>
    <w:rsid w:val="0B964B78"/>
    <w:rsid w:val="0BC1228B"/>
    <w:rsid w:val="0C1E2BA0"/>
    <w:rsid w:val="0C2415D3"/>
    <w:rsid w:val="0C765CB2"/>
    <w:rsid w:val="0CF4479D"/>
    <w:rsid w:val="0D4B6EEB"/>
    <w:rsid w:val="0D8E1831"/>
    <w:rsid w:val="0DB37DA9"/>
    <w:rsid w:val="0DC4358A"/>
    <w:rsid w:val="0DCE1EEF"/>
    <w:rsid w:val="0DE55F05"/>
    <w:rsid w:val="0E635713"/>
    <w:rsid w:val="0E970358"/>
    <w:rsid w:val="0EE63629"/>
    <w:rsid w:val="0F0B0D44"/>
    <w:rsid w:val="0F2B662B"/>
    <w:rsid w:val="0F530A77"/>
    <w:rsid w:val="0F6552E2"/>
    <w:rsid w:val="0FD94249"/>
    <w:rsid w:val="100E024A"/>
    <w:rsid w:val="10392EAE"/>
    <w:rsid w:val="10706EC2"/>
    <w:rsid w:val="1121582E"/>
    <w:rsid w:val="12615F79"/>
    <w:rsid w:val="12807280"/>
    <w:rsid w:val="13595AEC"/>
    <w:rsid w:val="13781EA1"/>
    <w:rsid w:val="13BA6F1B"/>
    <w:rsid w:val="13FF3340"/>
    <w:rsid w:val="140C543C"/>
    <w:rsid w:val="14290ADE"/>
    <w:rsid w:val="148463E6"/>
    <w:rsid w:val="1499656E"/>
    <w:rsid w:val="14D20D9B"/>
    <w:rsid w:val="14DE1C1C"/>
    <w:rsid w:val="15287094"/>
    <w:rsid w:val="153B6675"/>
    <w:rsid w:val="154A0774"/>
    <w:rsid w:val="15A72BED"/>
    <w:rsid w:val="15E2359A"/>
    <w:rsid w:val="1621170E"/>
    <w:rsid w:val="16E713AE"/>
    <w:rsid w:val="172D620A"/>
    <w:rsid w:val="17727BE7"/>
    <w:rsid w:val="18B91D2B"/>
    <w:rsid w:val="18C40414"/>
    <w:rsid w:val="19310D44"/>
    <w:rsid w:val="19D016DA"/>
    <w:rsid w:val="1A3B20D5"/>
    <w:rsid w:val="1A6A6D44"/>
    <w:rsid w:val="1A817123"/>
    <w:rsid w:val="1B936A5D"/>
    <w:rsid w:val="1BDEBEAC"/>
    <w:rsid w:val="1BE23DA9"/>
    <w:rsid w:val="1C093ECB"/>
    <w:rsid w:val="1C7A21C4"/>
    <w:rsid w:val="1CE4433A"/>
    <w:rsid w:val="1D6C565A"/>
    <w:rsid w:val="1D7D16F3"/>
    <w:rsid w:val="1E0A2076"/>
    <w:rsid w:val="1E2608CF"/>
    <w:rsid w:val="1E432094"/>
    <w:rsid w:val="1EAF32E2"/>
    <w:rsid w:val="1EE84AA8"/>
    <w:rsid w:val="1EFFF4B3"/>
    <w:rsid w:val="1F77199B"/>
    <w:rsid w:val="200C30D8"/>
    <w:rsid w:val="205E7E2B"/>
    <w:rsid w:val="208F7F21"/>
    <w:rsid w:val="21047E63"/>
    <w:rsid w:val="211A582E"/>
    <w:rsid w:val="216430E4"/>
    <w:rsid w:val="21B603B0"/>
    <w:rsid w:val="21BC5C5A"/>
    <w:rsid w:val="228447E5"/>
    <w:rsid w:val="23424F53"/>
    <w:rsid w:val="236E14E2"/>
    <w:rsid w:val="23757EF1"/>
    <w:rsid w:val="237B3513"/>
    <w:rsid w:val="239E1D07"/>
    <w:rsid w:val="23B109F1"/>
    <w:rsid w:val="23ED67F6"/>
    <w:rsid w:val="242F739C"/>
    <w:rsid w:val="24723495"/>
    <w:rsid w:val="24C05495"/>
    <w:rsid w:val="24E508F1"/>
    <w:rsid w:val="250224DD"/>
    <w:rsid w:val="25485D1E"/>
    <w:rsid w:val="25E93BCF"/>
    <w:rsid w:val="25EF43AC"/>
    <w:rsid w:val="26115EDF"/>
    <w:rsid w:val="265A0151"/>
    <w:rsid w:val="267A23FE"/>
    <w:rsid w:val="268502F9"/>
    <w:rsid w:val="26BC1DEE"/>
    <w:rsid w:val="27AB4DCE"/>
    <w:rsid w:val="27BE1281"/>
    <w:rsid w:val="27F76B28"/>
    <w:rsid w:val="28655363"/>
    <w:rsid w:val="288978C6"/>
    <w:rsid w:val="28D07FED"/>
    <w:rsid w:val="291C01CD"/>
    <w:rsid w:val="29D148D0"/>
    <w:rsid w:val="29E60F26"/>
    <w:rsid w:val="2A137BE3"/>
    <w:rsid w:val="2A162D55"/>
    <w:rsid w:val="2A7D70A8"/>
    <w:rsid w:val="2A8628A1"/>
    <w:rsid w:val="2A9902D1"/>
    <w:rsid w:val="2AC803DC"/>
    <w:rsid w:val="2B99658A"/>
    <w:rsid w:val="2C5F5948"/>
    <w:rsid w:val="2C6911C0"/>
    <w:rsid w:val="2C8C1715"/>
    <w:rsid w:val="2CC032E4"/>
    <w:rsid w:val="2D2E66E9"/>
    <w:rsid w:val="2D72354B"/>
    <w:rsid w:val="2D7A4B45"/>
    <w:rsid w:val="2D8D01A6"/>
    <w:rsid w:val="2DBF2AD5"/>
    <w:rsid w:val="2DC74409"/>
    <w:rsid w:val="2EA40BAA"/>
    <w:rsid w:val="2EAB0B7A"/>
    <w:rsid w:val="2F223892"/>
    <w:rsid w:val="2F5A0DD9"/>
    <w:rsid w:val="2F6B2D40"/>
    <w:rsid w:val="2F9F1F01"/>
    <w:rsid w:val="2FA9313B"/>
    <w:rsid w:val="2FAB2A22"/>
    <w:rsid w:val="30143D85"/>
    <w:rsid w:val="30483FFF"/>
    <w:rsid w:val="31396738"/>
    <w:rsid w:val="31752B09"/>
    <w:rsid w:val="32684247"/>
    <w:rsid w:val="3297173F"/>
    <w:rsid w:val="32C336B0"/>
    <w:rsid w:val="341548E3"/>
    <w:rsid w:val="34753D6B"/>
    <w:rsid w:val="34C727E5"/>
    <w:rsid w:val="34D26C2F"/>
    <w:rsid w:val="35244791"/>
    <w:rsid w:val="355D2728"/>
    <w:rsid w:val="358B07BE"/>
    <w:rsid w:val="35CF21E2"/>
    <w:rsid w:val="37481298"/>
    <w:rsid w:val="37577C14"/>
    <w:rsid w:val="37712A39"/>
    <w:rsid w:val="37C271D1"/>
    <w:rsid w:val="37CE4F77"/>
    <w:rsid w:val="37D029A4"/>
    <w:rsid w:val="380672F9"/>
    <w:rsid w:val="39573B6C"/>
    <w:rsid w:val="398A7550"/>
    <w:rsid w:val="39A03A52"/>
    <w:rsid w:val="39C53CD8"/>
    <w:rsid w:val="3A1D2170"/>
    <w:rsid w:val="3AE50133"/>
    <w:rsid w:val="3B345EA5"/>
    <w:rsid w:val="3B7D477A"/>
    <w:rsid w:val="3C020153"/>
    <w:rsid w:val="3C0F7C63"/>
    <w:rsid w:val="3C50345E"/>
    <w:rsid w:val="3C535292"/>
    <w:rsid w:val="3CB435C9"/>
    <w:rsid w:val="3D817FE1"/>
    <w:rsid w:val="3DB12578"/>
    <w:rsid w:val="3DB531EC"/>
    <w:rsid w:val="3DCD5DF6"/>
    <w:rsid w:val="3DE86C6B"/>
    <w:rsid w:val="3E985B3D"/>
    <w:rsid w:val="3EC82C92"/>
    <w:rsid w:val="3EEC6F56"/>
    <w:rsid w:val="3EFD547E"/>
    <w:rsid w:val="3F3C60EE"/>
    <w:rsid w:val="3F433240"/>
    <w:rsid w:val="3F9E713A"/>
    <w:rsid w:val="3FB30860"/>
    <w:rsid w:val="3FB933B6"/>
    <w:rsid w:val="3FF39BA0"/>
    <w:rsid w:val="3FFD8D37"/>
    <w:rsid w:val="408C0053"/>
    <w:rsid w:val="413B08D3"/>
    <w:rsid w:val="41955D4D"/>
    <w:rsid w:val="420A29EE"/>
    <w:rsid w:val="423A6905"/>
    <w:rsid w:val="42AC6604"/>
    <w:rsid w:val="42E82B6F"/>
    <w:rsid w:val="43036342"/>
    <w:rsid w:val="430B5334"/>
    <w:rsid w:val="43471696"/>
    <w:rsid w:val="436460DC"/>
    <w:rsid w:val="438D1989"/>
    <w:rsid w:val="43A57ABB"/>
    <w:rsid w:val="43A83792"/>
    <w:rsid w:val="446E79B8"/>
    <w:rsid w:val="44EC29B1"/>
    <w:rsid w:val="4563730C"/>
    <w:rsid w:val="458A1444"/>
    <w:rsid w:val="45CB53CC"/>
    <w:rsid w:val="46822259"/>
    <w:rsid w:val="468E0131"/>
    <w:rsid w:val="46FAF615"/>
    <w:rsid w:val="472A5610"/>
    <w:rsid w:val="472B3357"/>
    <w:rsid w:val="47360A56"/>
    <w:rsid w:val="477E2C88"/>
    <w:rsid w:val="478333D8"/>
    <w:rsid w:val="480B693A"/>
    <w:rsid w:val="485C107E"/>
    <w:rsid w:val="48694FA0"/>
    <w:rsid w:val="4883270A"/>
    <w:rsid w:val="488E768B"/>
    <w:rsid w:val="48B67F95"/>
    <w:rsid w:val="49713132"/>
    <w:rsid w:val="4991008C"/>
    <w:rsid w:val="49D41E18"/>
    <w:rsid w:val="49F41D5E"/>
    <w:rsid w:val="4A137E28"/>
    <w:rsid w:val="4ADB6432"/>
    <w:rsid w:val="4B187DAE"/>
    <w:rsid w:val="4B1E31F7"/>
    <w:rsid w:val="4B7508AB"/>
    <w:rsid w:val="4B812F58"/>
    <w:rsid w:val="4BA0420E"/>
    <w:rsid w:val="4BB03363"/>
    <w:rsid w:val="4BCB3573"/>
    <w:rsid w:val="4BD56176"/>
    <w:rsid w:val="4C2645F8"/>
    <w:rsid w:val="4CE75373"/>
    <w:rsid w:val="4D2F0209"/>
    <w:rsid w:val="4E4B081F"/>
    <w:rsid w:val="4E9C1CD3"/>
    <w:rsid w:val="4F687EAB"/>
    <w:rsid w:val="4FAA7EC3"/>
    <w:rsid w:val="4FC53DBE"/>
    <w:rsid w:val="4FDC6724"/>
    <w:rsid w:val="4FE73C45"/>
    <w:rsid w:val="503B47A4"/>
    <w:rsid w:val="517238D7"/>
    <w:rsid w:val="518435F5"/>
    <w:rsid w:val="51CC4FB9"/>
    <w:rsid w:val="5242055C"/>
    <w:rsid w:val="525C3F94"/>
    <w:rsid w:val="52DB2202"/>
    <w:rsid w:val="52E6D006"/>
    <w:rsid w:val="532E2916"/>
    <w:rsid w:val="53565C60"/>
    <w:rsid w:val="53B464D9"/>
    <w:rsid w:val="546C2376"/>
    <w:rsid w:val="54C47451"/>
    <w:rsid w:val="54D50D8F"/>
    <w:rsid w:val="55140FDD"/>
    <w:rsid w:val="558E62B5"/>
    <w:rsid w:val="55EF39A2"/>
    <w:rsid w:val="55F41F4A"/>
    <w:rsid w:val="566D4B95"/>
    <w:rsid w:val="572656D4"/>
    <w:rsid w:val="57A32411"/>
    <w:rsid w:val="58337D80"/>
    <w:rsid w:val="590509E3"/>
    <w:rsid w:val="596D0701"/>
    <w:rsid w:val="59AD06A4"/>
    <w:rsid w:val="5A4D586D"/>
    <w:rsid w:val="5A6249B0"/>
    <w:rsid w:val="5A9613A1"/>
    <w:rsid w:val="5AF93F3D"/>
    <w:rsid w:val="5B3F3E55"/>
    <w:rsid w:val="5B543124"/>
    <w:rsid w:val="5B552733"/>
    <w:rsid w:val="5C1427BE"/>
    <w:rsid w:val="5CF650A8"/>
    <w:rsid w:val="5DC75EF7"/>
    <w:rsid w:val="5E0C41C2"/>
    <w:rsid w:val="5E7C626E"/>
    <w:rsid w:val="5E866809"/>
    <w:rsid w:val="5EE84C68"/>
    <w:rsid w:val="5EEBC73C"/>
    <w:rsid w:val="5EF764CF"/>
    <w:rsid w:val="5F04649B"/>
    <w:rsid w:val="5F1D1414"/>
    <w:rsid w:val="5F6635B0"/>
    <w:rsid w:val="5F66E909"/>
    <w:rsid w:val="5FE42EC2"/>
    <w:rsid w:val="607C0329"/>
    <w:rsid w:val="607E0A12"/>
    <w:rsid w:val="609C30DE"/>
    <w:rsid w:val="61210A5F"/>
    <w:rsid w:val="615C17E5"/>
    <w:rsid w:val="61C8686F"/>
    <w:rsid w:val="621D5BA4"/>
    <w:rsid w:val="624551D8"/>
    <w:rsid w:val="627977A0"/>
    <w:rsid w:val="62C00B68"/>
    <w:rsid w:val="63205611"/>
    <w:rsid w:val="635972AB"/>
    <w:rsid w:val="635B6748"/>
    <w:rsid w:val="637161CE"/>
    <w:rsid w:val="638D551F"/>
    <w:rsid w:val="63947A95"/>
    <w:rsid w:val="64316C5D"/>
    <w:rsid w:val="644B55E8"/>
    <w:rsid w:val="64CA4280"/>
    <w:rsid w:val="64E05610"/>
    <w:rsid w:val="64E73B37"/>
    <w:rsid w:val="65D7775C"/>
    <w:rsid w:val="663E0D74"/>
    <w:rsid w:val="66BF2A15"/>
    <w:rsid w:val="66CF283B"/>
    <w:rsid w:val="676E1FE0"/>
    <w:rsid w:val="67B167D1"/>
    <w:rsid w:val="67E81CD0"/>
    <w:rsid w:val="67EB394F"/>
    <w:rsid w:val="680E676D"/>
    <w:rsid w:val="681F6955"/>
    <w:rsid w:val="68573E66"/>
    <w:rsid w:val="685F1C50"/>
    <w:rsid w:val="69811AFA"/>
    <w:rsid w:val="699022E9"/>
    <w:rsid w:val="69BB2878"/>
    <w:rsid w:val="69E15C1B"/>
    <w:rsid w:val="6A565837"/>
    <w:rsid w:val="6A714498"/>
    <w:rsid w:val="6A7A3C06"/>
    <w:rsid w:val="6AB13E7B"/>
    <w:rsid w:val="6B0B7927"/>
    <w:rsid w:val="6B42557D"/>
    <w:rsid w:val="6BAE46D2"/>
    <w:rsid w:val="6C44124A"/>
    <w:rsid w:val="6C5D5C10"/>
    <w:rsid w:val="6CDC6BF8"/>
    <w:rsid w:val="6D02011C"/>
    <w:rsid w:val="6D6A4B39"/>
    <w:rsid w:val="6DDD645C"/>
    <w:rsid w:val="6DF4161F"/>
    <w:rsid w:val="6F7FEEA3"/>
    <w:rsid w:val="6FDE4F78"/>
    <w:rsid w:val="6FEFC4EC"/>
    <w:rsid w:val="712D2AFE"/>
    <w:rsid w:val="717107AB"/>
    <w:rsid w:val="71E00F57"/>
    <w:rsid w:val="72B83CC2"/>
    <w:rsid w:val="734E63E1"/>
    <w:rsid w:val="745919C6"/>
    <w:rsid w:val="74702A9A"/>
    <w:rsid w:val="74E673BF"/>
    <w:rsid w:val="74ED10B4"/>
    <w:rsid w:val="74FFE614"/>
    <w:rsid w:val="750E495B"/>
    <w:rsid w:val="75BF4CFB"/>
    <w:rsid w:val="75EB3B35"/>
    <w:rsid w:val="761C2BBB"/>
    <w:rsid w:val="763A5A6B"/>
    <w:rsid w:val="765F4246"/>
    <w:rsid w:val="766C0D71"/>
    <w:rsid w:val="76AA7BD3"/>
    <w:rsid w:val="76F72695"/>
    <w:rsid w:val="76FA25F3"/>
    <w:rsid w:val="770165C5"/>
    <w:rsid w:val="77606A91"/>
    <w:rsid w:val="776A1DE8"/>
    <w:rsid w:val="778843E2"/>
    <w:rsid w:val="77B6F360"/>
    <w:rsid w:val="77D7EC4F"/>
    <w:rsid w:val="77E76825"/>
    <w:rsid w:val="7809318F"/>
    <w:rsid w:val="785D00CA"/>
    <w:rsid w:val="78762826"/>
    <w:rsid w:val="78A57D93"/>
    <w:rsid w:val="78B437F6"/>
    <w:rsid w:val="79091796"/>
    <w:rsid w:val="79CC0251"/>
    <w:rsid w:val="79DB0D59"/>
    <w:rsid w:val="79DE32E4"/>
    <w:rsid w:val="7A6536FD"/>
    <w:rsid w:val="7AEB5906"/>
    <w:rsid w:val="7B5D2ADF"/>
    <w:rsid w:val="7B5F9255"/>
    <w:rsid w:val="7BE64654"/>
    <w:rsid w:val="7C465E6F"/>
    <w:rsid w:val="7C5C5AFF"/>
    <w:rsid w:val="7C731113"/>
    <w:rsid w:val="7C89B142"/>
    <w:rsid w:val="7CAB59E6"/>
    <w:rsid w:val="7D095886"/>
    <w:rsid w:val="7DB506D7"/>
    <w:rsid w:val="7DDD6CEA"/>
    <w:rsid w:val="7DE47C5B"/>
    <w:rsid w:val="7DFF81C2"/>
    <w:rsid w:val="7E0D7EF2"/>
    <w:rsid w:val="7E2F7CAD"/>
    <w:rsid w:val="7E4E9CF6"/>
    <w:rsid w:val="7E636E14"/>
    <w:rsid w:val="7E93651E"/>
    <w:rsid w:val="7EE465C3"/>
    <w:rsid w:val="7F3376E9"/>
    <w:rsid w:val="7F40212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14:textFill>
        <w14:solidFill>
          <w14:schemeClr w14:val="tx1"/>
        </w14:solidFill>
      </w14:textFill>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2"/>
    <w:qFormat/>
    <w:uiPriority w:val="0"/>
    <w:pPr>
      <w:spacing w:line="360" w:lineRule="exact"/>
    </w:pPr>
    <w:rPr>
      <w:sz w:val="24"/>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annotation text"/>
    <w:basedOn w:val="1"/>
    <w:link w:val="51"/>
    <w:qFormat/>
    <w:uiPriority w:val="0"/>
    <w:pPr>
      <w:jc w:val="left"/>
    </w:pPr>
  </w:style>
  <w:style w:type="paragraph" w:styleId="10">
    <w:name w:val="Body Text Indent"/>
    <w:basedOn w:val="1"/>
    <w:link w:val="54"/>
    <w:qFormat/>
    <w:uiPriority w:val="0"/>
    <w:pPr>
      <w:spacing w:after="120"/>
      <w:ind w:left="420" w:leftChars="200"/>
    </w:pPr>
  </w:style>
  <w:style w:type="paragraph" w:styleId="11">
    <w:name w:val="Plain Text"/>
    <w:basedOn w:val="1"/>
    <w:link w:val="100"/>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18">
    <w:name w:val="annotation subject"/>
    <w:basedOn w:val="9"/>
    <w:next w:val="9"/>
    <w:link w:val="52"/>
    <w:qFormat/>
    <w:uiPriority w:val="0"/>
    <w:rPr>
      <w:b/>
      <w:bCs/>
    </w:rPr>
  </w:style>
  <w:style w:type="paragraph" w:styleId="19">
    <w:name w:val="Body Text First Indent"/>
    <w:basedOn w:val="2"/>
    <w:unhideWhenUsed/>
    <w:qFormat/>
    <w:uiPriority w:val="99"/>
    <w:pPr>
      <w:ind w:firstLine="420" w:firstLineChars="100"/>
    </w:pPr>
  </w:style>
  <w:style w:type="paragraph" w:styleId="20">
    <w:name w:val="Body Text First Indent 2"/>
    <w:basedOn w:val="10"/>
    <w:unhideWhenUsed/>
    <w:qFormat/>
    <w:uiPriority w:val="99"/>
    <w:pPr>
      <w:ind w:firstLine="420" w:firstLineChars="200"/>
    </w:pPr>
  </w:style>
  <w:style w:type="character" w:styleId="23">
    <w:name w:val="Strong"/>
    <w:basedOn w:val="22"/>
    <w:qFormat/>
    <w:uiPriority w:val="0"/>
    <w:rPr>
      <w:b/>
    </w:rPr>
  </w:style>
  <w:style w:type="character" w:styleId="24">
    <w:name w:val="FollowedHyperlink"/>
    <w:basedOn w:val="22"/>
    <w:qFormat/>
    <w:uiPriority w:val="0"/>
    <w:rPr>
      <w:color w:val="00000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qFormat/>
    <w:uiPriority w:val="0"/>
    <w:rPr>
      <w:color w:val="000000"/>
      <w:u w:val="none"/>
    </w:rPr>
  </w:style>
  <w:style w:type="character" w:styleId="30">
    <w:name w:val="HTML Code"/>
    <w:basedOn w:val="22"/>
    <w:qFormat/>
    <w:uiPriority w:val="0"/>
    <w:rPr>
      <w:rFonts w:ascii="Courier New" w:hAnsi="Courier New"/>
      <w:sz w:val="20"/>
    </w:rPr>
  </w:style>
  <w:style w:type="character" w:styleId="31">
    <w:name w:val="annotation reference"/>
    <w:basedOn w:val="22"/>
    <w:qFormat/>
    <w:uiPriority w:val="0"/>
    <w:rPr>
      <w:sz w:val="21"/>
      <w:szCs w:val="21"/>
    </w:rPr>
  </w:style>
  <w:style w:type="character" w:styleId="32">
    <w:name w:val="HTML Cite"/>
    <w:basedOn w:val="22"/>
    <w:qFormat/>
    <w:uiPriority w:val="0"/>
  </w:style>
  <w:style w:type="paragraph" w:customStyle="1" w:styleId="33">
    <w:name w:val="表格文字"/>
    <w:basedOn w:val="1"/>
    <w:next w:val="2"/>
    <w:qFormat/>
    <w:uiPriority w:val="0"/>
    <w:pPr>
      <w:adjustRightInd w:val="0"/>
      <w:spacing w:line="420" w:lineRule="atLeast"/>
      <w:jc w:val="left"/>
      <w:textAlignment w:val="baseline"/>
    </w:pPr>
    <w:rPr>
      <w:kern w:val="0"/>
    </w:rPr>
  </w:style>
  <w:style w:type="paragraph" w:customStyle="1" w:styleId="3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5">
    <w:name w:val="列表段落1"/>
    <w:basedOn w:val="1"/>
    <w:qFormat/>
    <w:uiPriority w:val="34"/>
    <w:pPr>
      <w:ind w:firstLine="420" w:firstLineChars="200"/>
    </w:pPr>
    <w:rPr>
      <w:rFonts w:ascii="Calibri" w:hAnsi="Calibri"/>
      <w:szCs w:val="22"/>
    </w:rPr>
  </w:style>
  <w:style w:type="paragraph" w:customStyle="1" w:styleId="3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7">
    <w:name w:val="列出段落1"/>
    <w:basedOn w:val="1"/>
    <w:qFormat/>
    <w:uiPriority w:val="0"/>
    <w:pPr>
      <w:ind w:firstLine="420" w:firstLineChars="200"/>
    </w:pPr>
    <w:rPr>
      <w:rFonts w:ascii="Calibri" w:hAnsi="Calibri"/>
      <w:kern w:val="0"/>
      <w:szCs w:val="20"/>
    </w:rPr>
  </w:style>
  <w:style w:type="paragraph" w:customStyle="1" w:styleId="3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0"/>
    <w:rPr>
      <w:rFonts w:ascii="Times New Roman" w:hAnsi="Times New Roman" w:eastAsia="宋体" w:cs="Times New Roman"/>
      <w:sz w:val="21"/>
      <w:szCs w:val="22"/>
      <w:lang w:val="en-US" w:eastAsia="zh-CN" w:bidi="ar-SA"/>
    </w:rPr>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0"/>
    <w:pPr>
      <w:widowControl/>
      <w:jc w:val="left"/>
    </w:pPr>
    <w:rPr>
      <w:rFonts w:ascii="宋体" w:hAnsi="Courier New" w:eastAsiaTheme="minorEastAsia" w:cstheme="minorBidi"/>
      <w:szCs w:val="21"/>
    </w:rPr>
  </w:style>
  <w:style w:type="paragraph" w:customStyle="1" w:styleId="46">
    <w:name w:val="纯文本_0_1"/>
    <w:basedOn w:val="1"/>
    <w:qFormat/>
    <w:uiPriority w:val="0"/>
    <w:pPr>
      <w:widowControl/>
      <w:jc w:val="left"/>
    </w:pPr>
    <w:rPr>
      <w:rFonts w:ascii="宋体" w:hAnsi="Courier New" w:eastAsiaTheme="minorEastAsia" w:cstheme="minorBidi"/>
      <w:szCs w:val="21"/>
    </w:rPr>
  </w:style>
  <w:style w:type="paragraph" w:customStyle="1" w:styleId="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批注文字 Char"/>
    <w:basedOn w:val="22"/>
    <w:link w:val="9"/>
    <w:qFormat/>
    <w:uiPriority w:val="0"/>
    <w:rPr>
      <w:rFonts w:ascii="Times New Roman" w:hAnsi="Times New Roman" w:eastAsia="宋体" w:cs="Times New Roman"/>
      <w:kern w:val="2"/>
      <w:sz w:val="21"/>
      <w:szCs w:val="24"/>
    </w:rPr>
  </w:style>
  <w:style w:type="character" w:customStyle="1" w:styleId="52">
    <w:name w:val="批注主题 Char"/>
    <w:basedOn w:val="51"/>
    <w:link w:val="18"/>
    <w:qFormat/>
    <w:uiPriority w:val="0"/>
    <w:rPr>
      <w:rFonts w:ascii="Times New Roman" w:hAnsi="Times New Roman" w:eastAsia="宋体" w:cs="Times New Roman"/>
      <w:b/>
      <w:bCs/>
      <w:kern w:val="2"/>
      <w:sz w:val="21"/>
      <w:szCs w:val="24"/>
    </w:rPr>
  </w:style>
  <w:style w:type="character" w:customStyle="1" w:styleId="53">
    <w:name w:val="批注框文本 Char"/>
    <w:basedOn w:val="22"/>
    <w:link w:val="13"/>
    <w:qFormat/>
    <w:uiPriority w:val="0"/>
    <w:rPr>
      <w:rFonts w:ascii="Times New Roman" w:hAnsi="Times New Roman" w:eastAsia="宋体" w:cs="Times New Roman"/>
      <w:kern w:val="2"/>
      <w:sz w:val="18"/>
      <w:szCs w:val="18"/>
    </w:rPr>
  </w:style>
  <w:style w:type="character" w:customStyle="1" w:styleId="54">
    <w:name w:val="正文文本缩进 Char"/>
    <w:basedOn w:val="22"/>
    <w:link w:val="10"/>
    <w:qFormat/>
    <w:uiPriority w:val="0"/>
    <w:rPr>
      <w:kern w:val="2"/>
      <w:sz w:val="21"/>
      <w:szCs w:val="24"/>
    </w:rPr>
  </w:style>
  <w:style w:type="character" w:customStyle="1" w:styleId="55">
    <w:name w:val="s1"/>
    <w:basedOn w:val="22"/>
    <w:qFormat/>
    <w:uiPriority w:val="0"/>
    <w:rPr>
      <w:rFonts w:ascii="Helvetica" w:hAnsi="Helvetica" w:eastAsia="Helvetica" w:cs="Helvetica"/>
      <w:sz w:val="24"/>
      <w:szCs w:val="24"/>
    </w:rPr>
  </w:style>
  <w:style w:type="paragraph" w:customStyle="1" w:styleId="56">
    <w:name w:val="p2"/>
    <w:basedOn w:val="1"/>
    <w:qFormat/>
    <w:uiPriority w:val="0"/>
    <w:pPr>
      <w:jc w:val="left"/>
    </w:pPr>
    <w:rPr>
      <w:rFonts w:ascii="pingfang sc" w:hAnsi="pingfang sc" w:eastAsia="pingfang sc"/>
      <w:kern w:val="0"/>
      <w:sz w:val="24"/>
    </w:rPr>
  </w:style>
  <w:style w:type="paragraph" w:customStyle="1" w:styleId="57">
    <w:name w:val="p1"/>
    <w:basedOn w:val="1"/>
    <w:qFormat/>
    <w:uiPriority w:val="0"/>
    <w:pPr>
      <w:jc w:val="left"/>
    </w:pPr>
    <w:rPr>
      <w:rFonts w:ascii="pingfang sc" w:hAnsi="pingfang sc" w:eastAsia="pingfang sc"/>
      <w:kern w:val="0"/>
      <w:sz w:val="24"/>
    </w:rPr>
  </w:style>
  <w:style w:type="paragraph" w:customStyle="1" w:styleId="58">
    <w:name w:val="Char"/>
    <w:basedOn w:val="1"/>
    <w:qFormat/>
    <w:uiPriority w:val="0"/>
    <w:pPr>
      <w:spacing w:line="440" w:lineRule="exact"/>
      <w:ind w:left="510" w:firstLine="480" w:firstLineChars="200"/>
    </w:pPr>
    <w:rPr>
      <w:rFonts w:ascii="宋体" w:hAnsi="宋体"/>
      <w:sz w:val="24"/>
    </w:rPr>
  </w:style>
  <w:style w:type="character" w:customStyle="1" w:styleId="59">
    <w:name w:val="font01"/>
    <w:basedOn w:val="22"/>
    <w:qFormat/>
    <w:uiPriority w:val="0"/>
    <w:rPr>
      <w:rFonts w:hint="eastAsia" w:ascii="宋体" w:hAnsi="宋体" w:eastAsia="宋体" w:cs="宋体"/>
      <w:b/>
      <w:color w:val="000000"/>
      <w:sz w:val="24"/>
      <w:szCs w:val="24"/>
      <w:u w:val="none"/>
    </w:rPr>
  </w:style>
  <w:style w:type="character" w:customStyle="1" w:styleId="60">
    <w:name w:val="font21"/>
    <w:basedOn w:val="22"/>
    <w:qFormat/>
    <w:uiPriority w:val="0"/>
    <w:rPr>
      <w:rFonts w:hint="eastAsia" w:ascii="宋体" w:hAnsi="宋体" w:eastAsia="宋体" w:cs="宋体"/>
      <w:color w:val="000000"/>
      <w:sz w:val="24"/>
      <w:szCs w:val="24"/>
      <w:u w:val="none"/>
    </w:rPr>
  </w:style>
  <w:style w:type="character" w:customStyle="1" w:styleId="61">
    <w:name w:val="text-overflow"/>
    <w:basedOn w:val="22"/>
    <w:qFormat/>
    <w:uiPriority w:val="0"/>
  </w:style>
  <w:style w:type="character" w:customStyle="1" w:styleId="62">
    <w:name w:val="text-overflow1"/>
    <w:basedOn w:val="22"/>
    <w:qFormat/>
    <w:uiPriority w:val="0"/>
  </w:style>
  <w:style w:type="character" w:customStyle="1" w:styleId="63">
    <w:name w:val="publishtime"/>
    <w:basedOn w:val="22"/>
    <w:qFormat/>
    <w:uiPriority w:val="0"/>
    <w:rPr>
      <w:color w:val="999999"/>
    </w:rPr>
  </w:style>
  <w:style w:type="character" w:customStyle="1" w:styleId="64">
    <w:name w:val="publishtime1"/>
    <w:basedOn w:val="22"/>
    <w:qFormat/>
    <w:uiPriority w:val="0"/>
    <w:rPr>
      <w:color w:val="666666"/>
    </w:rPr>
  </w:style>
  <w:style w:type="character" w:customStyle="1" w:styleId="65">
    <w:name w:val="first-child"/>
    <w:basedOn w:val="22"/>
    <w:qFormat/>
    <w:uiPriority w:val="0"/>
  </w:style>
  <w:style w:type="character" w:customStyle="1" w:styleId="66">
    <w:name w:val="hover9"/>
    <w:basedOn w:val="22"/>
    <w:qFormat/>
    <w:uiPriority w:val="0"/>
    <w:rPr>
      <w:color w:val="23527C"/>
      <w:shd w:val="clear" w:color="auto" w:fill="EEEEEE"/>
    </w:rPr>
  </w:style>
  <w:style w:type="character" w:customStyle="1" w:styleId="67">
    <w:name w:val="hover10"/>
    <w:basedOn w:val="22"/>
    <w:qFormat/>
    <w:uiPriority w:val="0"/>
    <w:rPr>
      <w:color w:val="777777"/>
      <w:shd w:val="clear" w:color="auto" w:fill="FFFFFF"/>
    </w:rPr>
  </w:style>
  <w:style w:type="character" w:customStyle="1" w:styleId="68">
    <w:name w:val="second-line"/>
    <w:basedOn w:val="22"/>
    <w:qFormat/>
    <w:uiPriority w:val="0"/>
    <w:rPr>
      <w:color w:val="727272"/>
    </w:rPr>
  </w:style>
  <w:style w:type="character" w:customStyle="1" w:styleId="69">
    <w:name w:val="time"/>
    <w:basedOn w:val="22"/>
    <w:qFormat/>
    <w:uiPriority w:val="0"/>
    <w:rPr>
      <w:sz w:val="21"/>
      <w:szCs w:val="21"/>
    </w:rPr>
  </w:style>
  <w:style w:type="character" w:customStyle="1" w:styleId="70">
    <w:name w:val="focus2"/>
    <w:basedOn w:val="22"/>
    <w:qFormat/>
    <w:uiPriority w:val="0"/>
    <w:rPr>
      <w:color w:val="23527C"/>
      <w:shd w:val="clear" w:color="auto" w:fill="EEEEEE"/>
    </w:rPr>
  </w:style>
  <w:style w:type="character" w:customStyle="1" w:styleId="71">
    <w:name w:val="focus3"/>
    <w:basedOn w:val="22"/>
    <w:qFormat/>
    <w:uiPriority w:val="0"/>
    <w:rPr>
      <w:color w:val="777777"/>
      <w:shd w:val="clear" w:color="auto" w:fill="FFFFFF"/>
    </w:rPr>
  </w:style>
  <w:style w:type="character" w:customStyle="1" w:styleId="72">
    <w:name w:val="first-child1"/>
    <w:basedOn w:val="22"/>
    <w:qFormat/>
    <w:uiPriority w:val="0"/>
  </w:style>
  <w:style w:type="character" w:customStyle="1" w:styleId="73">
    <w:name w:val="focus"/>
    <w:basedOn w:val="22"/>
    <w:qFormat/>
    <w:uiPriority w:val="0"/>
    <w:rPr>
      <w:color w:val="23527C"/>
      <w:shd w:val="clear" w:color="auto" w:fill="EEEEEE"/>
    </w:rPr>
  </w:style>
  <w:style w:type="character" w:customStyle="1" w:styleId="74">
    <w:name w:val="focus1"/>
    <w:basedOn w:val="22"/>
    <w:qFormat/>
    <w:uiPriority w:val="0"/>
    <w:rPr>
      <w:color w:val="777777"/>
      <w:shd w:val="clear" w:color="auto" w:fill="FFFFFF"/>
    </w:rPr>
  </w:style>
  <w:style w:type="character" w:customStyle="1" w:styleId="75">
    <w:name w:val="hover35"/>
    <w:basedOn w:val="22"/>
    <w:qFormat/>
    <w:uiPriority w:val="0"/>
    <w:rPr>
      <w:color w:val="3EAF0E"/>
    </w:rPr>
  </w:style>
  <w:style w:type="character" w:customStyle="1" w:styleId="76">
    <w:name w:val="mr-prof"/>
    <w:basedOn w:val="22"/>
    <w:qFormat/>
    <w:uiPriority w:val="0"/>
  </w:style>
  <w:style w:type="character" w:customStyle="1" w:styleId="77">
    <w:name w:val="s16"/>
    <w:basedOn w:val="22"/>
    <w:qFormat/>
    <w:uiPriority w:val="0"/>
    <w:rPr>
      <w:color w:val="DDDDDD"/>
      <w:sz w:val="18"/>
      <w:szCs w:val="18"/>
    </w:rPr>
  </w:style>
  <w:style w:type="character" w:customStyle="1" w:styleId="78">
    <w:name w:val="hover33"/>
    <w:basedOn w:val="22"/>
    <w:qFormat/>
    <w:uiPriority w:val="0"/>
    <w:rPr>
      <w:color w:val="3EAF0E"/>
    </w:rPr>
  </w:style>
  <w:style w:type="character" w:customStyle="1" w:styleId="79">
    <w:name w:val="hover31"/>
    <w:basedOn w:val="22"/>
    <w:qFormat/>
    <w:uiPriority w:val="0"/>
    <w:rPr>
      <w:color w:val="3EAF0E"/>
    </w:rPr>
  </w:style>
  <w:style w:type="paragraph" w:customStyle="1" w:styleId="80">
    <w:name w:val="_Style 2"/>
    <w:basedOn w:val="1"/>
    <w:qFormat/>
    <w:uiPriority w:val="99"/>
    <w:pPr>
      <w:adjustRightInd w:val="0"/>
      <w:snapToGrid w:val="0"/>
    </w:pPr>
    <w:rPr>
      <w:rFonts w:ascii="Tahoma" w:hAnsi="Tahoma" w:eastAsia="微软雅黑" w:cs="Tahoma"/>
      <w:sz w:val="22"/>
      <w:szCs w:val="22"/>
    </w:rPr>
  </w:style>
  <w:style w:type="character" w:customStyle="1" w:styleId="81">
    <w:name w:val="r-text"/>
    <w:basedOn w:val="22"/>
    <w:qFormat/>
    <w:uiPriority w:val="0"/>
    <w:rPr>
      <w:color w:val="00349B"/>
    </w:rPr>
  </w:style>
  <w:style w:type="character" w:customStyle="1" w:styleId="82">
    <w:name w:val="r-time"/>
    <w:basedOn w:val="22"/>
    <w:qFormat/>
    <w:uiPriority w:val="0"/>
    <w:rPr>
      <w:color w:val="B30000"/>
    </w:rPr>
  </w:style>
  <w:style w:type="character" w:customStyle="1" w:styleId="83">
    <w:name w:val="index-headcontent-0ccba"/>
    <w:basedOn w:val="22"/>
    <w:qFormat/>
    <w:uiPriority w:val="0"/>
    <w:rPr>
      <w:vanish/>
    </w:rPr>
  </w:style>
  <w:style w:type="character" w:customStyle="1" w:styleId="84">
    <w:name w:val="index-name-935ff"/>
    <w:basedOn w:val="22"/>
    <w:qFormat/>
    <w:uiPriority w:val="0"/>
    <w:rPr>
      <w:sz w:val="24"/>
      <w:szCs w:val="24"/>
    </w:rPr>
  </w:style>
  <w:style w:type="character" w:customStyle="1" w:styleId="85">
    <w:name w:val="hover36"/>
    <w:basedOn w:val="22"/>
    <w:qFormat/>
    <w:uiPriority w:val="0"/>
    <w:rPr>
      <w:color w:val="1632EF"/>
      <w:u w:val="single"/>
    </w:rPr>
  </w:style>
  <w:style w:type="character" w:customStyle="1" w:styleId="86">
    <w:name w:val="hover37"/>
    <w:basedOn w:val="22"/>
    <w:qFormat/>
    <w:uiPriority w:val="0"/>
    <w:rPr>
      <w:shd w:val="clear" w:color="auto" w:fill="F6F6F6"/>
    </w:rPr>
  </w:style>
  <w:style w:type="character" w:customStyle="1" w:styleId="87">
    <w:name w:val="hover38"/>
    <w:basedOn w:val="22"/>
    <w:qFormat/>
    <w:uiPriority w:val="0"/>
    <w:rPr>
      <w:color w:val="3C88FF"/>
    </w:rPr>
  </w:style>
  <w:style w:type="character" w:customStyle="1" w:styleId="88">
    <w:name w:val="hover39"/>
    <w:basedOn w:val="22"/>
    <w:qFormat/>
    <w:uiPriority w:val="0"/>
    <w:rPr>
      <w:color w:val="1632EF"/>
      <w:u w:val="single"/>
    </w:rPr>
  </w:style>
  <w:style w:type="character" w:customStyle="1" w:styleId="89">
    <w:name w:val="nth-child(1)1"/>
    <w:basedOn w:val="22"/>
    <w:qFormat/>
    <w:uiPriority w:val="0"/>
  </w:style>
  <w:style w:type="character" w:customStyle="1" w:styleId="90">
    <w:name w:val="nth-child(1)2"/>
    <w:basedOn w:val="22"/>
    <w:qFormat/>
    <w:uiPriority w:val="0"/>
  </w:style>
  <w:style w:type="character" w:customStyle="1" w:styleId="91">
    <w:name w:val="text"/>
    <w:basedOn w:val="22"/>
    <w:qFormat/>
    <w:uiPriority w:val="0"/>
    <w:rPr>
      <w:color w:val="666666"/>
    </w:rPr>
  </w:style>
  <w:style w:type="character" w:customStyle="1" w:styleId="92">
    <w:name w:val="text1"/>
    <w:basedOn w:val="22"/>
    <w:qFormat/>
    <w:uiPriority w:val="0"/>
    <w:rPr>
      <w:color w:val="666666"/>
    </w:rPr>
  </w:style>
  <w:style w:type="character" w:customStyle="1" w:styleId="93">
    <w:name w:val="back"/>
    <w:basedOn w:val="22"/>
    <w:qFormat/>
    <w:uiPriority w:val="0"/>
    <w:rPr>
      <w:shd w:val="clear" w:color="auto" w:fill="111111"/>
    </w:rPr>
  </w:style>
  <w:style w:type="character" w:customStyle="1" w:styleId="94">
    <w:name w:val="back1"/>
    <w:basedOn w:val="22"/>
    <w:qFormat/>
    <w:uiPriority w:val="0"/>
    <w:rPr>
      <w:shd w:val="clear" w:color="auto" w:fill="111111"/>
    </w:rPr>
  </w:style>
  <w:style w:type="character" w:customStyle="1" w:styleId="95">
    <w:name w:val="nth-child(1)"/>
    <w:basedOn w:val="22"/>
    <w:qFormat/>
    <w:uiPriority w:val="0"/>
  </w:style>
  <w:style w:type="paragraph" w:customStyle="1" w:styleId="96">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97">
    <w:name w:val="List Paragraph"/>
    <w:basedOn w:val="1"/>
    <w:qFormat/>
    <w:uiPriority w:val="34"/>
    <w:pPr>
      <w:ind w:firstLine="420" w:firstLineChars="200"/>
    </w:pPr>
  </w:style>
  <w:style w:type="paragraph" w:customStyle="1" w:styleId="98">
    <w:name w:val="p0"/>
    <w:basedOn w:val="1"/>
    <w:qFormat/>
    <w:uiPriority w:val="0"/>
    <w:pPr>
      <w:widowControl/>
    </w:pPr>
    <w:rPr>
      <w:rFonts w:ascii="Calibri" w:hAnsi="Calibri" w:cs="宋体"/>
      <w:kern w:val="0"/>
      <w:szCs w:val="21"/>
    </w:rPr>
  </w:style>
  <w:style w:type="paragraph" w:customStyle="1" w:styleId="99">
    <w:name w:val="无间隔2"/>
    <w:qFormat/>
    <w:uiPriority w:val="0"/>
    <w:pPr>
      <w:widowControl w:val="0"/>
      <w:tabs>
        <w:tab w:val="left" w:pos="480"/>
      </w:tabs>
      <w:adjustRightInd w:val="0"/>
      <w:snapToGrid w:val="0"/>
    </w:pPr>
    <w:rPr>
      <w:rFonts w:ascii="Times New Roman" w:hAnsi="Times New Roman" w:eastAsia="楷体" w:cs="Times New Roman"/>
      <w:snapToGrid w:val="0"/>
      <w:sz w:val="24"/>
      <w:szCs w:val="24"/>
      <w:lang w:val="en-US" w:eastAsia="zh-CN" w:bidi="ar-SA"/>
    </w:rPr>
  </w:style>
  <w:style w:type="character" w:customStyle="1" w:styleId="100">
    <w:name w:val="纯文本 Char"/>
    <w:link w:val="11"/>
    <w:qFormat/>
    <w:uiPriority w:val="0"/>
    <w:rPr>
      <w:rFonts w:ascii="宋体" w:hAnsi="Courier New" w:cstheme="minorBidi"/>
      <w:kern w:val="2"/>
      <w:sz w:val="21"/>
      <w:szCs w:val="24"/>
    </w:rPr>
  </w:style>
  <w:style w:type="paragraph" w:customStyle="1" w:styleId="101">
    <w:name w:val="五号正文项目（标准）"/>
    <w:basedOn w:val="1"/>
    <w:qFormat/>
    <w:uiPriority w:val="0"/>
    <w:pPr>
      <w:numPr>
        <w:ilvl w:val="0"/>
        <w:numId w:val="3"/>
      </w:numPr>
      <w:spacing w:line="400" w:lineRule="exact"/>
      <w:jc w:val="left"/>
    </w:pPr>
    <w:rPr>
      <w:rFonts w:ascii="宋体" w:hAnsi="宋体" w:cs="宋体"/>
      <w:color w:val="000000"/>
      <w:kern w:val="0"/>
      <w:sz w:val="34"/>
      <w:szCs w:val="20"/>
    </w:rPr>
  </w:style>
  <w:style w:type="character" w:customStyle="1" w:styleId="102">
    <w:name w:val="正文文本 Char"/>
    <w:link w:val="2"/>
    <w:qFormat/>
    <w:uiPriority w:val="0"/>
    <w:rPr>
      <w:kern w:val="2"/>
      <w:sz w:val="24"/>
      <w:szCs w:val="24"/>
    </w:rPr>
  </w:style>
  <w:style w:type="paragraph" w:customStyle="1" w:styleId="103">
    <w:name w:val="彩色列表1"/>
    <w:basedOn w:val="1"/>
    <w:qFormat/>
    <w:uiPriority w:val="34"/>
    <w:pPr>
      <w:ind w:firstLine="420" w:firstLineChars="200"/>
    </w:pPr>
    <w:rPr>
      <w:rFonts w:ascii="Calibri" w:hAnsi="Calibri"/>
      <w:kern w:val="0"/>
      <w:sz w:val="34"/>
      <w:szCs w:val="20"/>
    </w:rPr>
  </w:style>
  <w:style w:type="paragraph" w:customStyle="1" w:styleId="104">
    <w:name w:val="_Style 116"/>
    <w:qFormat/>
    <w:uiPriority w:val="0"/>
    <w:rPr>
      <w:rFonts w:ascii="Times New Roman" w:hAnsi="Times New Roman" w:eastAsia="宋体" w:cs="Times New Roman"/>
      <w:sz w:val="24"/>
      <w:szCs w:val="22"/>
      <w:lang w:val="en-US" w:eastAsia="zh-CN" w:bidi="ar-SA"/>
    </w:rPr>
  </w:style>
  <w:style w:type="paragraph" w:customStyle="1" w:styleId="105">
    <w:name w:val="￥正文"/>
    <w:basedOn w:val="1"/>
    <w:qFormat/>
    <w:uiPriority w:val="0"/>
    <w:pPr>
      <w:ind w:firstLine="200" w:firstLineChars="200"/>
    </w:pPr>
    <w:rPr>
      <w:rFonts w:ascii="Calibri" w:hAnsi="Calibri"/>
      <w:kern w:val="0"/>
      <w:sz w:val="34"/>
      <w:szCs w:val="20"/>
    </w:rPr>
  </w:style>
  <w:style w:type="character" w:customStyle="1" w:styleId="106">
    <w:name w:val="myfont9b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301EB-E611-4274-8FD8-55CDD26F54C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4255</Words>
  <Characters>24255</Characters>
  <Lines>202</Lines>
  <Paragraphs>56</Paragraphs>
  <TotalTime>28</TotalTime>
  <ScaleCrop>false</ScaleCrop>
  <LinksUpToDate>false</LinksUpToDate>
  <CharactersWithSpaces>28454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2020-06-03T01:46:00Z</dcterms:created>
  <dc:creator>S-mile</dc:creator>
  <cp:lastModifiedBy>Will_C</cp:lastModifiedBy>
  <cp:lastPrinted>2020-04-03T07:48:00Z</cp:lastPrinted>
  <dcterms:modified xsi:type="dcterms:W3CDTF">2020-06-15T09:38:21Z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