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highlight w:val="none"/>
        </w:rPr>
        <w:t>玉环市</w:t>
      </w:r>
      <w:r>
        <w:rPr>
          <w:rFonts w:hint="eastAsia" w:ascii="宋体"/>
          <w:b/>
          <w:color w:val="auto"/>
          <w:kern w:val="0"/>
          <w:sz w:val="52"/>
          <w:szCs w:val="52"/>
          <w:highlight w:val="none"/>
        </w:rPr>
        <w:t>政府采购招标文件</w:t>
      </w:r>
    </w:p>
    <w:p>
      <w:pPr>
        <w:autoSpaceDE w:val="0"/>
        <w:autoSpaceDN w:val="0"/>
        <w:adjustRightInd w:val="0"/>
        <w:spacing w:line="360" w:lineRule="auto"/>
        <w:rPr>
          <w:rFonts w:ascii="宋体"/>
          <w:color w:val="auto"/>
          <w:kern w:val="0"/>
          <w:sz w:val="28"/>
          <w:highlight w:val="none"/>
        </w:rPr>
      </w:pPr>
    </w:p>
    <w:p>
      <w:pPr>
        <w:spacing w:line="360" w:lineRule="auto"/>
        <w:jc w:val="center"/>
        <w:rPr>
          <w:rFonts w:hint="eastAsia" w:ascii="宋体" w:hAnsi="宋体" w:eastAsia="宋体" w:cs="宋体"/>
          <w:color w:val="auto"/>
          <w:kern w:val="0"/>
          <w:sz w:val="30"/>
          <w:szCs w:val="30"/>
          <w:highlight w:val="none"/>
          <w:lang w:eastAsia="zh-CN"/>
        </w:rPr>
      </w:pPr>
      <w:r>
        <w:rPr>
          <w:rFonts w:hint="eastAsia" w:ascii="宋体" w:hAnsi="宋体" w:cs="宋体"/>
          <w:color w:val="auto"/>
          <w:kern w:val="0"/>
          <w:sz w:val="30"/>
          <w:szCs w:val="30"/>
          <w:highlight w:val="none"/>
          <w:lang w:eastAsia="zh-CN"/>
        </w:rPr>
        <w:t>TZHXCG-2020-026</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center"/>
        <w:rPr>
          <w:rFonts w:ascii="宋体" w:hAnsi="宋体" w:cs="宋体"/>
          <w:color w:val="auto"/>
          <w:kern w:val="0"/>
          <w:sz w:val="30"/>
          <w:szCs w:val="30"/>
          <w:highlight w:val="none"/>
        </w:rPr>
      </w:pPr>
    </w:p>
    <w:p>
      <w:pPr>
        <w:spacing w:line="360" w:lineRule="auto"/>
        <w:ind w:left="279" w:leftChars="133"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采购项目：</w:t>
      </w:r>
      <w:r>
        <w:rPr>
          <w:rFonts w:hint="eastAsia" w:ascii="宋体" w:hAnsi="宋体" w:cs="宋体"/>
          <w:color w:val="auto"/>
          <w:kern w:val="0"/>
          <w:sz w:val="24"/>
          <w:szCs w:val="24"/>
          <w:highlight w:val="none"/>
          <w:lang w:eastAsia="zh-CN"/>
        </w:rPr>
        <w:t>玉环市水资源强监管平台建设技术服务采购项目</w:t>
      </w:r>
    </w:p>
    <w:p>
      <w:pPr>
        <w:spacing w:line="360" w:lineRule="auto"/>
        <w:ind w:left="279" w:leftChars="133" w:firstLine="480" w:firstLineChars="200"/>
        <w:jc w:val="left"/>
        <w:rPr>
          <w:rFonts w:ascii="宋体" w:hAnsi="宋体" w:cs="宋体"/>
          <w:color w:val="auto"/>
          <w:kern w:val="0"/>
          <w:sz w:val="28"/>
          <w:szCs w:val="28"/>
          <w:highlight w:val="none"/>
        </w:rPr>
      </w:pPr>
      <w:r>
        <w:rPr>
          <w:rFonts w:hint="eastAsia" w:ascii="宋体" w:hAnsi="宋体" w:cs="宋体"/>
          <w:color w:val="auto"/>
          <w:kern w:val="0"/>
          <w:sz w:val="24"/>
          <w:szCs w:val="24"/>
          <w:highlight w:val="none"/>
        </w:rPr>
        <w:t>采购人：玉环市农业农村和水利局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ascii="宋体" w:hAnsi="宋体" w:cs="宋体"/>
          <w:color w:val="auto"/>
          <w:kern w:val="0"/>
          <w:sz w:val="30"/>
          <w:szCs w:val="30"/>
          <w:highlight w:val="none"/>
        </w:rPr>
      </w:pPr>
      <w:r>
        <w:rPr>
          <w:rFonts w:hint="eastAsia" w:ascii="宋体" w:hAnsi="宋体" w:cs="宋体"/>
          <w:color w:val="auto"/>
          <w:kern w:val="0"/>
          <w:sz w:val="30"/>
          <w:szCs w:val="30"/>
          <w:highlight w:val="none"/>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1" w:right="1800" w:firstLine="600" w:firstLineChars="200"/>
        <w:jc w:val="left"/>
        <w:rPr>
          <w:rFonts w:ascii="宋体" w:hAnsi="宋体" w:cs="宋体"/>
          <w:color w:val="auto"/>
          <w:kern w:val="0"/>
          <w:sz w:val="30"/>
          <w:szCs w:val="30"/>
          <w:highlight w:val="none"/>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cs="宋体"/>
          <w:color w:val="auto"/>
          <w:kern w:val="0"/>
          <w:sz w:val="30"/>
          <w:szCs w:val="30"/>
          <w:highlight w:val="none"/>
        </w:rPr>
      </w:pPr>
    </w:p>
    <w:p>
      <w:pPr>
        <w:pStyle w:val="35"/>
        <w:rPr>
          <w:rFonts w:ascii="宋体" w:hAnsi="宋体" w:cs="宋体"/>
          <w:color w:val="auto"/>
          <w:sz w:val="30"/>
          <w:szCs w:val="30"/>
          <w:highlight w:val="none"/>
        </w:rPr>
      </w:pPr>
    </w:p>
    <w:p>
      <w:pPr>
        <w:pStyle w:val="11"/>
        <w:rPr>
          <w:rFonts w:ascii="宋体" w:hAnsi="宋体" w:cs="宋体"/>
          <w:color w:val="auto"/>
          <w:kern w:val="0"/>
          <w:sz w:val="30"/>
          <w:szCs w:val="30"/>
          <w:highlight w:val="none"/>
        </w:rPr>
      </w:pPr>
    </w:p>
    <w:p>
      <w:pPr>
        <w:pStyle w:val="12"/>
        <w:rPr>
          <w:rFonts w:ascii="宋体" w:hAnsi="宋体" w:cs="宋体"/>
          <w:color w:val="auto"/>
          <w:sz w:val="30"/>
          <w:szCs w:val="30"/>
          <w:highlight w:val="none"/>
        </w:rPr>
      </w:pPr>
    </w:p>
    <w:p>
      <w:pPr>
        <w:rPr>
          <w:rFonts w:ascii="宋体" w:hAnsi="宋体" w:cs="宋体"/>
          <w:color w:val="auto"/>
          <w:kern w:val="0"/>
          <w:sz w:val="30"/>
          <w:szCs w:val="30"/>
          <w:highlight w:val="none"/>
        </w:rPr>
      </w:pPr>
    </w:p>
    <w:p>
      <w:pPr>
        <w:pStyle w:val="35"/>
        <w:rPr>
          <w:rFonts w:ascii="宋体" w:hAnsi="宋体" w:cs="宋体"/>
          <w:color w:val="auto"/>
          <w:sz w:val="30"/>
          <w:szCs w:val="30"/>
          <w:highlight w:val="none"/>
        </w:rPr>
      </w:pPr>
    </w:p>
    <w:p>
      <w:pPr>
        <w:pStyle w:val="11"/>
        <w:rPr>
          <w:color w:val="auto"/>
          <w:highlight w:val="none"/>
        </w:rPr>
      </w:pPr>
    </w:p>
    <w:p>
      <w:pPr>
        <w:spacing w:line="360" w:lineRule="auto"/>
        <w:ind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台州恒信工程造价咨询有限公司</w:t>
      </w:r>
    </w:p>
    <w:p>
      <w:pPr>
        <w:spacing w:line="360" w:lineRule="auto"/>
        <w:ind w:firstLine="560" w:firstLineChars="20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2020年</w:t>
      </w:r>
      <w:r>
        <w:rPr>
          <w:rFonts w:hint="eastAsia" w:ascii="宋体" w:hAnsi="宋体" w:cs="宋体"/>
          <w:color w:val="auto"/>
          <w:kern w:val="0"/>
          <w:sz w:val="28"/>
          <w:szCs w:val="28"/>
          <w:highlight w:val="none"/>
          <w:lang w:val="en-US" w:eastAsia="zh-CN"/>
        </w:rPr>
        <w:t>06</w:t>
      </w:r>
      <w:r>
        <w:rPr>
          <w:rFonts w:hint="eastAsia" w:ascii="宋体" w:hAnsi="宋体" w:cs="宋体"/>
          <w:color w:val="auto"/>
          <w:kern w:val="0"/>
          <w:sz w:val="28"/>
          <w:szCs w:val="28"/>
          <w:highlight w:val="none"/>
        </w:rPr>
        <w:t>月</w:t>
      </w:r>
    </w:p>
    <w:p>
      <w:pPr>
        <w:spacing w:line="360" w:lineRule="auto"/>
        <w:rPr>
          <w:color w:val="auto"/>
          <w:highlight w:val="none"/>
        </w:rPr>
      </w:pPr>
    </w:p>
    <w:p>
      <w:pPr>
        <w:spacing w:line="360" w:lineRule="auto"/>
        <w:rPr>
          <w:color w:val="auto"/>
          <w:highlight w:val="none"/>
        </w:rPr>
      </w:pPr>
    </w:p>
    <w:p>
      <w:pPr>
        <w:rPr>
          <w:color w:val="auto"/>
          <w:highlight w:val="none"/>
        </w:rPr>
      </w:pPr>
      <w:r>
        <w:rPr>
          <w:color w:val="auto"/>
          <w:highlight w:val="none"/>
        </w:rPr>
        <w:br w:type="page"/>
      </w:r>
    </w:p>
    <w:p>
      <w:pPr>
        <w:pStyle w:val="19"/>
        <w:rPr>
          <w:color w:val="auto"/>
          <w:highlight w:val="none"/>
        </w:rPr>
      </w:pPr>
    </w:p>
    <w:p>
      <w:pP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color w:val="auto"/>
          <w:sz w:val="36"/>
          <w:highlight w:val="none"/>
        </w:rPr>
      </w:pPr>
    </w:p>
    <w:p>
      <w:pPr>
        <w:spacing w:line="360" w:lineRule="auto"/>
        <w:rPr>
          <w:rFonts w:ascii="新宋体" w:hAnsi="新宋体" w:eastAsia="新宋体"/>
          <w:color w:val="auto"/>
          <w:sz w:val="28"/>
          <w:szCs w:val="28"/>
          <w:highlight w:val="none"/>
        </w:rPr>
      </w:pP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公开招标采购公告</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投标人须知</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评标办法及评分标准</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公开招标需求</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政府采购合同主要条款指引</w:t>
      </w:r>
    </w:p>
    <w:p>
      <w:pPr>
        <w:numPr>
          <w:ilvl w:val="0"/>
          <w:numId w:val="3"/>
        </w:numPr>
        <w:spacing w:line="360" w:lineRule="auto"/>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投标文件格式附件</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color w:val="auto"/>
          <w:kern w:val="0"/>
          <w:sz w:val="36"/>
          <w:szCs w:val="36"/>
          <w:highlight w:val="none"/>
        </w:rPr>
      </w:pPr>
    </w:p>
    <w:p>
      <w:pPr>
        <w:tabs>
          <w:tab w:val="left" w:pos="180"/>
          <w:tab w:val="left" w:pos="360"/>
          <w:tab w:val="left" w:pos="540"/>
          <w:tab w:val="left" w:pos="8280"/>
        </w:tabs>
        <w:autoSpaceDE w:val="0"/>
        <w:autoSpaceDN w:val="0"/>
        <w:adjustRightInd w:val="0"/>
        <w:spacing w:line="360" w:lineRule="auto"/>
        <w:ind w:right="23"/>
        <w:jc w:val="center"/>
        <w:outlineLvl w:val="0"/>
        <w:rPr>
          <w:rFonts w:asciiTheme="majorEastAsia" w:hAnsiTheme="majorEastAsia" w:eastAsiaTheme="majorEastAsia"/>
          <w:b/>
          <w:color w:val="auto"/>
          <w:kern w:val="0"/>
          <w:sz w:val="36"/>
          <w:szCs w:val="36"/>
          <w:highlight w:val="none"/>
        </w:rPr>
      </w:pPr>
      <w:r>
        <w:rPr>
          <w:rFonts w:hint="eastAsia" w:asciiTheme="majorEastAsia" w:hAnsiTheme="majorEastAsia" w:eastAsiaTheme="majorEastAsia"/>
          <w:b/>
          <w:color w:val="auto"/>
          <w:kern w:val="0"/>
          <w:sz w:val="36"/>
          <w:szCs w:val="36"/>
          <w:highlight w:val="none"/>
        </w:rPr>
        <w:t>第一章  公开</w:t>
      </w:r>
      <w:r>
        <w:rPr>
          <w:rFonts w:hint="eastAsia" w:asciiTheme="majorEastAsia" w:hAnsiTheme="majorEastAsia" w:eastAsiaTheme="majorEastAsia"/>
          <w:b/>
          <w:color w:val="auto"/>
          <w:sz w:val="36"/>
          <w:szCs w:val="36"/>
          <w:highlight w:val="none"/>
        </w:rPr>
        <w:t>招标采购公告</w:t>
      </w:r>
    </w:p>
    <w:p>
      <w:pPr>
        <w:tabs>
          <w:tab w:val="left" w:pos="180"/>
          <w:tab w:val="left" w:pos="360"/>
          <w:tab w:val="left" w:pos="540"/>
          <w:tab w:val="left" w:pos="8280"/>
        </w:tabs>
        <w:autoSpaceDE w:val="0"/>
        <w:autoSpaceDN w:val="0"/>
        <w:adjustRightInd w:val="0"/>
        <w:spacing w:before="312" w:beforeLines="100" w:line="360" w:lineRule="auto"/>
        <w:ind w:right="23" w:firstLine="539"/>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color w:val="auto"/>
          <w:kern w:val="0"/>
          <w:sz w:val="24"/>
          <w:highlight w:val="none"/>
        </w:rPr>
        <w:t xml:space="preserve">, </w:t>
      </w:r>
      <w:r>
        <w:rPr>
          <w:rFonts w:hint="eastAsia" w:asciiTheme="minorEastAsia" w:hAnsiTheme="minorEastAsia" w:eastAsiaTheme="minorEastAsia"/>
          <w:color w:val="auto"/>
          <w:kern w:val="0"/>
          <w:sz w:val="24"/>
          <w:highlight w:val="none"/>
        </w:rPr>
        <w:t>台州恒信工程造价咨询有限公司受采购人</w:t>
      </w:r>
      <w:r>
        <w:rPr>
          <w:rFonts w:hint="eastAsia" w:asciiTheme="minorEastAsia" w:hAnsiTheme="minorEastAsia" w:eastAsiaTheme="minorEastAsia"/>
          <w:color w:val="auto"/>
          <w:sz w:val="24"/>
          <w:highlight w:val="none"/>
        </w:rPr>
        <w:t>玉环市农业农村和水利局</w:t>
      </w:r>
      <w:r>
        <w:rPr>
          <w:rFonts w:hint="eastAsia" w:asciiTheme="minorEastAsia" w:hAnsiTheme="minorEastAsia" w:eastAsiaTheme="minorEastAsia"/>
          <w:color w:val="auto"/>
          <w:kern w:val="0"/>
          <w:sz w:val="24"/>
          <w:highlight w:val="none"/>
        </w:rPr>
        <w:t>委托，现就</w:t>
      </w:r>
      <w:r>
        <w:rPr>
          <w:rFonts w:hint="eastAsia" w:asciiTheme="minorEastAsia" w:hAnsiTheme="minorEastAsia" w:eastAsiaTheme="minorEastAsia"/>
          <w:color w:val="auto"/>
          <w:kern w:val="0"/>
          <w:sz w:val="24"/>
          <w:highlight w:val="none"/>
          <w:lang w:eastAsia="zh-CN"/>
        </w:rPr>
        <w:t>玉环市水资源强监管平台建设技术服务采购项目</w:t>
      </w:r>
      <w:r>
        <w:rPr>
          <w:rFonts w:hint="eastAsia" w:asciiTheme="minorEastAsia" w:hAnsiTheme="minorEastAsia" w:eastAsiaTheme="minorEastAsia"/>
          <w:color w:val="auto"/>
          <w:kern w:val="0"/>
          <w:sz w:val="24"/>
          <w:highlight w:val="none"/>
        </w:rPr>
        <w:t>进行公开招标采购，欢迎合格供应商前来投标。</w:t>
      </w:r>
    </w:p>
    <w:p>
      <w:pPr>
        <w:tabs>
          <w:tab w:val="left" w:pos="180"/>
          <w:tab w:val="left" w:pos="360"/>
          <w:tab w:val="left" w:pos="540"/>
          <w:tab w:val="left" w:pos="8280"/>
        </w:tabs>
        <w:autoSpaceDE w:val="0"/>
        <w:autoSpaceDN w:val="0"/>
        <w:adjustRightInd w:val="0"/>
        <w:spacing w:before="100" w:line="360" w:lineRule="auto"/>
        <w:ind w:right="23"/>
        <w:jc w:val="left"/>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b/>
          <w:color w:val="auto"/>
          <w:kern w:val="0"/>
          <w:sz w:val="24"/>
          <w:highlight w:val="none"/>
        </w:rPr>
        <w:t>一、项目编号：</w:t>
      </w:r>
      <w:r>
        <w:rPr>
          <w:rFonts w:hint="eastAsia" w:asciiTheme="minorEastAsia" w:hAnsiTheme="minorEastAsia" w:eastAsiaTheme="minorEastAsia"/>
          <w:b/>
          <w:color w:val="auto"/>
          <w:kern w:val="0"/>
          <w:sz w:val="24"/>
          <w:highlight w:val="none"/>
          <w:lang w:eastAsia="zh-CN"/>
        </w:rPr>
        <w:t>TZHXCG-2020-026</w:t>
      </w:r>
    </w:p>
    <w:p>
      <w:pPr>
        <w:tabs>
          <w:tab w:val="left" w:pos="180"/>
          <w:tab w:val="left" w:pos="360"/>
          <w:tab w:val="left" w:pos="540"/>
          <w:tab w:val="left" w:pos="8280"/>
        </w:tabs>
        <w:autoSpaceDE w:val="0"/>
        <w:autoSpaceDN w:val="0"/>
        <w:adjustRightInd w:val="0"/>
        <w:spacing w:before="100" w:line="360" w:lineRule="auto"/>
        <w:ind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color w:val="auto"/>
          <w:kern w:val="0"/>
          <w:sz w:val="24"/>
          <w:highlight w:val="none"/>
        </w:rPr>
        <w:t>二、招标项目概况：</w:t>
      </w:r>
    </w:p>
    <w:tbl>
      <w:tblPr>
        <w:tblStyle w:val="22"/>
        <w:tblW w:w="9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6"/>
        <w:gridCol w:w="1956"/>
        <w:gridCol w:w="737"/>
        <w:gridCol w:w="725"/>
        <w:gridCol w:w="1013"/>
        <w:gridCol w:w="1112"/>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7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序号</w:t>
            </w:r>
          </w:p>
        </w:tc>
        <w:tc>
          <w:tcPr>
            <w:tcW w:w="1566" w:type="dxa"/>
            <w:vAlign w:val="center"/>
          </w:tcPr>
          <w:p>
            <w:pPr>
              <w:tabs>
                <w:tab w:val="left" w:pos="8280"/>
              </w:tabs>
              <w:autoSpaceDE w:val="0"/>
              <w:autoSpaceDN w:val="0"/>
              <w:adjustRightInd w:val="0"/>
              <w:ind w:right="25" w:firstLine="105" w:firstLineChars="5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w:t>
            </w:r>
          </w:p>
          <w:p>
            <w:pPr>
              <w:tabs>
                <w:tab w:val="left" w:pos="8280"/>
              </w:tabs>
              <w:autoSpaceDE w:val="0"/>
              <w:autoSpaceDN w:val="0"/>
              <w:adjustRightInd w:val="0"/>
              <w:ind w:right="25" w:firstLine="105" w:firstLineChars="50"/>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名称</w:t>
            </w:r>
          </w:p>
        </w:tc>
        <w:tc>
          <w:tcPr>
            <w:tcW w:w="1956"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lang w:eastAsia="zh-CN"/>
              </w:rPr>
              <w:t>招标</w:t>
            </w:r>
            <w:r>
              <w:rPr>
                <w:rFonts w:hint="eastAsia" w:asciiTheme="minorEastAsia" w:hAnsiTheme="minorEastAsia" w:eastAsiaTheme="minorEastAsia"/>
                <w:b/>
                <w:color w:val="auto"/>
                <w:szCs w:val="21"/>
                <w:highlight w:val="none"/>
              </w:rPr>
              <w:t>内容</w:t>
            </w:r>
          </w:p>
        </w:tc>
        <w:tc>
          <w:tcPr>
            <w:tcW w:w="737"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数量</w:t>
            </w:r>
          </w:p>
        </w:tc>
        <w:tc>
          <w:tcPr>
            <w:tcW w:w="725"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单位</w:t>
            </w:r>
          </w:p>
        </w:tc>
        <w:tc>
          <w:tcPr>
            <w:tcW w:w="1013"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预算</w:t>
            </w:r>
          </w:p>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（万元）</w:t>
            </w:r>
          </w:p>
        </w:tc>
        <w:tc>
          <w:tcPr>
            <w:tcW w:w="1112"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最高限价</w:t>
            </w:r>
          </w:p>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（万元）</w:t>
            </w:r>
          </w:p>
        </w:tc>
        <w:tc>
          <w:tcPr>
            <w:tcW w:w="1313" w:type="dxa"/>
            <w:vAlign w:val="center"/>
          </w:tcPr>
          <w:p>
            <w:pPr>
              <w:tabs>
                <w:tab w:val="left" w:pos="8280"/>
              </w:tabs>
              <w:autoSpaceDE w:val="0"/>
              <w:autoSpaceDN w:val="0"/>
              <w:adjustRightInd w:val="0"/>
              <w:ind w:right="25"/>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675" w:type="dxa"/>
            <w:vAlign w:val="center"/>
          </w:tcPr>
          <w:p>
            <w:pPr>
              <w:tabs>
                <w:tab w:val="left" w:pos="8280"/>
              </w:tabs>
              <w:autoSpaceDE w:val="0"/>
              <w:autoSpaceDN w:val="0"/>
              <w:adjustRightInd w:val="0"/>
              <w:ind w:right="25"/>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p>
        </w:tc>
        <w:tc>
          <w:tcPr>
            <w:tcW w:w="1566" w:type="dxa"/>
            <w:vAlign w:val="center"/>
          </w:tcPr>
          <w:p>
            <w:pPr>
              <w:widowControl/>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eastAsia="zh-CN"/>
              </w:rPr>
              <w:t>玉环市水资源强监管平台建设技术服务采购项目</w:t>
            </w:r>
          </w:p>
        </w:tc>
        <w:tc>
          <w:tcPr>
            <w:tcW w:w="1956" w:type="dxa"/>
            <w:vAlign w:val="center"/>
          </w:tcPr>
          <w:p>
            <w:pPr>
              <w:widowControl/>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eastAsia="zh-CN"/>
              </w:rPr>
              <w:t>本项目为玉环市</w:t>
            </w:r>
            <w:r>
              <w:rPr>
                <w:rFonts w:hint="eastAsia" w:asciiTheme="minorEastAsia" w:hAnsiTheme="minorEastAsia" w:eastAsiaTheme="minorEastAsia"/>
                <w:color w:val="auto"/>
                <w:szCs w:val="21"/>
                <w:highlight w:val="none"/>
              </w:rPr>
              <w:t>水资源标准化管理平台</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水土保持信息管理平台</w:t>
            </w:r>
            <w:r>
              <w:rPr>
                <w:rFonts w:hint="eastAsia" w:asciiTheme="minorEastAsia" w:hAnsiTheme="minorEastAsia" w:eastAsiaTheme="minorEastAsia"/>
                <w:color w:val="auto"/>
                <w:szCs w:val="21"/>
                <w:highlight w:val="none"/>
                <w:lang w:eastAsia="zh-CN"/>
              </w:rPr>
              <w:t>建设技术服务</w:t>
            </w:r>
            <w:r>
              <w:rPr>
                <w:rFonts w:hint="eastAsia" w:asciiTheme="minorEastAsia" w:hAnsiTheme="minorEastAsia" w:eastAsiaTheme="minorEastAsia"/>
                <w:color w:val="auto"/>
                <w:szCs w:val="21"/>
                <w:highlight w:val="none"/>
              </w:rPr>
              <w:t>,具体详见公开招标需求。</w:t>
            </w:r>
          </w:p>
        </w:tc>
        <w:tc>
          <w:tcPr>
            <w:tcW w:w="737" w:type="dxa"/>
            <w:vAlign w:val="center"/>
          </w:tcPr>
          <w:p>
            <w:pPr>
              <w:tabs>
                <w:tab w:val="left" w:pos="8280"/>
              </w:tabs>
              <w:autoSpaceDE w:val="0"/>
              <w:autoSpaceDN w:val="0"/>
              <w:adjustRightInd w:val="0"/>
              <w:ind w:right="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725" w:type="dxa"/>
            <w:vAlign w:val="center"/>
          </w:tcPr>
          <w:p>
            <w:pPr>
              <w:tabs>
                <w:tab w:val="left" w:pos="8280"/>
              </w:tabs>
              <w:autoSpaceDE w:val="0"/>
              <w:autoSpaceDN w:val="0"/>
              <w:adjustRightInd w:val="0"/>
              <w:ind w:right="25"/>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w:t>
            </w:r>
          </w:p>
        </w:tc>
        <w:tc>
          <w:tcPr>
            <w:tcW w:w="1013"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38</w:t>
            </w:r>
          </w:p>
        </w:tc>
        <w:tc>
          <w:tcPr>
            <w:tcW w:w="1112" w:type="dxa"/>
            <w:vAlign w:val="center"/>
          </w:tcPr>
          <w:p>
            <w:pPr>
              <w:tabs>
                <w:tab w:val="left" w:pos="8280"/>
              </w:tabs>
              <w:autoSpaceDE w:val="0"/>
              <w:autoSpaceDN w:val="0"/>
              <w:adjustRightInd w:val="0"/>
              <w:ind w:right="25"/>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38</w:t>
            </w:r>
          </w:p>
        </w:tc>
        <w:tc>
          <w:tcPr>
            <w:tcW w:w="1313" w:type="dxa"/>
            <w:vAlign w:val="center"/>
          </w:tcPr>
          <w:p>
            <w:pPr>
              <w:tabs>
                <w:tab w:val="left" w:pos="8280"/>
              </w:tabs>
              <w:autoSpaceDE w:val="0"/>
              <w:autoSpaceDN w:val="0"/>
              <w:adjustRightInd w:val="0"/>
              <w:ind w:right="25"/>
              <w:jc w:val="left"/>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lang w:val="en-US" w:eastAsia="zh-CN"/>
              </w:rPr>
              <w:t>2020年10月底前完成与玉环市已建的水利数据中心无缝对接，并完成数据互通</w:t>
            </w:r>
          </w:p>
        </w:tc>
      </w:tr>
    </w:tbl>
    <w:p>
      <w:pPr>
        <w:tabs>
          <w:tab w:val="left" w:pos="180"/>
          <w:tab w:val="left" w:pos="360"/>
          <w:tab w:val="left" w:pos="540"/>
          <w:tab w:val="left" w:pos="8280"/>
        </w:tabs>
        <w:autoSpaceDE w:val="0"/>
        <w:autoSpaceDN w:val="0"/>
        <w:adjustRightInd w:val="0"/>
        <w:spacing w:before="100" w:line="400" w:lineRule="exact"/>
        <w:ind w:right="23"/>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三、合格投标人的资格条件：</w:t>
      </w:r>
    </w:p>
    <w:p>
      <w:pPr>
        <w:tabs>
          <w:tab w:val="left" w:pos="180"/>
          <w:tab w:val="left" w:pos="360"/>
          <w:tab w:val="left" w:pos="540"/>
          <w:tab w:val="left" w:pos="8280"/>
        </w:tabs>
        <w:autoSpaceDE w:val="0"/>
        <w:autoSpaceDN w:val="0"/>
        <w:adjustRightInd w:val="0"/>
        <w:spacing w:before="100" w:line="400" w:lineRule="exact"/>
        <w:ind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（一）符合《中华人民共和国政府采购法》第二十二条规定的投标人资格条件。</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（1）具有独立承担民事责任的能力；</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（2）具有良好的商业信誉和健全的财务会计制度；</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（3）具有履行合同所必需的设备和专业技术能力；</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（4）有依法缴纳税收和社会保障资金的良好记录；</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（5）参加政府采购活动前三年内，在经营活动中没有重大违法记录；</w:t>
      </w:r>
    </w:p>
    <w:p>
      <w:pPr>
        <w:tabs>
          <w:tab w:val="left" w:pos="180"/>
          <w:tab w:val="left" w:pos="360"/>
          <w:tab w:val="left" w:pos="540"/>
          <w:tab w:val="left" w:pos="8280"/>
        </w:tabs>
        <w:autoSpaceDE w:val="0"/>
        <w:autoSpaceDN w:val="0"/>
        <w:adjustRightInd w:val="0"/>
        <w:spacing w:before="100" w:line="400" w:lineRule="exact"/>
        <w:ind w:right="23"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（6）法律、行政法规规定的其他条件。</w:t>
      </w:r>
    </w:p>
    <w:p>
      <w:pPr>
        <w:tabs>
          <w:tab w:val="left" w:pos="180"/>
          <w:tab w:val="left" w:pos="360"/>
          <w:tab w:val="left" w:pos="540"/>
          <w:tab w:val="left" w:pos="8280"/>
        </w:tabs>
        <w:autoSpaceDE w:val="0"/>
        <w:autoSpaceDN w:val="0"/>
        <w:adjustRightInd w:val="0"/>
        <w:spacing w:before="100" w:line="400" w:lineRule="exact"/>
        <w:ind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cstheme="minorEastAsia"/>
          <w:color w:val="auto"/>
          <w:sz w:val="24"/>
          <w:highlight w:val="none"/>
        </w:rPr>
        <w:t>（二）</w:t>
      </w:r>
      <w:r>
        <w:rPr>
          <w:rFonts w:hint="eastAsia" w:asciiTheme="minorEastAsia" w:hAnsiTheme="minorEastAsia" w:eastAsiaTheme="minorEastAsia"/>
          <w:color w:val="auto"/>
          <w:sz w:val="24"/>
          <w:highlight w:val="none"/>
        </w:rPr>
        <w:t>本项目不接受联合体投标。</w:t>
      </w:r>
    </w:p>
    <w:p>
      <w:pPr>
        <w:tabs>
          <w:tab w:val="left" w:pos="180"/>
          <w:tab w:val="left" w:pos="360"/>
          <w:tab w:val="left" w:pos="540"/>
          <w:tab w:val="left" w:pos="8280"/>
        </w:tabs>
        <w:autoSpaceDE w:val="0"/>
        <w:autoSpaceDN w:val="0"/>
        <w:adjustRightInd w:val="0"/>
        <w:spacing w:before="100" w:line="360" w:lineRule="auto"/>
        <w:ind w:right="23"/>
        <w:jc w:val="left"/>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四、招标文件获取的方式、地址：</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1、本项目招标文件实行“政府采购云平台”在线获取，不提供招标文件纸质版。</w:t>
      </w:r>
    </w:p>
    <w:p>
      <w:pPr>
        <w:spacing w:line="360" w:lineRule="auto"/>
        <w:ind w:firstLine="480" w:firstLineChars="200"/>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2、获取地址：“政府采购云平台”（http://zfcg.czt.zj.gov.cn）</w:t>
      </w:r>
      <w:r>
        <w:rPr>
          <w:rFonts w:hint="eastAsia" w:cs="Arial" w:asciiTheme="minorEastAsia" w:hAnsiTheme="minorEastAsia" w:eastAsiaTheme="minorEastAsia"/>
          <w:color w:val="auto"/>
          <w:sz w:val="24"/>
          <w:highlight w:val="none"/>
          <w:lang w:eastAsia="zh-CN"/>
        </w:rPr>
        <w:t>。</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3、获取招标文件流程：</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（1）尚未注册浙江政府采购网正式供应商的应先进行注册申请，注册流程详见“浙江政府采购网—网上办事指南—供应商注册申请”，注册申请免费。</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2）潜在供应商登录“政府采购云平台”进入“项目采购”应用模块，点击菜单的“申请获取招标文件”，填写获取招标文件的申请信息，点击“下载招标文件”即可获取招标文件（仅需浏览招标文件的供应商可点击“游客，浏览招标文件”直接下载招标文件浏览）。</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（3）潜在供应商获取招标文件时须提交的文件资料：无；</w:t>
      </w:r>
    </w:p>
    <w:p>
      <w:pPr>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采购公告附件里的招标文件仅供阅览使用，供应商只有在“政府采购云平台”完成获取招标文件申请并下载招标文件后才视作依法获取招标文件（法律法规所指的供应商获取招标文件时间以供应商完成获取招标文件申请后下载招标文件的时间为准）。</w:t>
      </w:r>
    </w:p>
    <w:p>
      <w:pPr>
        <w:spacing w:line="360" w:lineRule="auto"/>
        <w:ind w:firstLine="482"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b/>
          <w:bCs/>
          <w:color w:val="auto"/>
          <w:sz w:val="24"/>
          <w:highlight w:val="none"/>
        </w:rPr>
        <w:t>注：</w:t>
      </w:r>
      <w:r>
        <w:rPr>
          <w:rFonts w:hint="eastAsia" w:cs="Arial" w:asciiTheme="minorEastAsia" w:hAnsiTheme="minorEastAsia" w:eastAsiaTheme="minorEastAsia"/>
          <w:color w:val="auto"/>
          <w:sz w:val="24"/>
          <w:highlight w:val="none"/>
        </w:rPr>
        <w:t>请潜在供应商按上述要求获取招标文件，非通过以上方式获取招标文件的潜在供应商，对招标文件提起质疑投诉的，不予受理。采购代理机构将拒绝接受非通过以上方式获取招标文件的供应商投标文件，由此引起的投标无效责任自负。</w:t>
      </w:r>
    </w:p>
    <w:p>
      <w:pPr>
        <w:tabs>
          <w:tab w:val="left" w:pos="180"/>
          <w:tab w:val="left" w:pos="360"/>
          <w:tab w:val="left" w:pos="540"/>
          <w:tab w:val="left" w:pos="8280"/>
        </w:tabs>
        <w:autoSpaceDE w:val="0"/>
        <w:autoSpaceDN w:val="0"/>
        <w:adjustRightInd w:val="0"/>
        <w:spacing w:before="100" w:line="360" w:lineRule="auto"/>
        <w:ind w:right="23"/>
        <w:jc w:val="left"/>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五、招标答疑会：</w:t>
      </w:r>
      <w:r>
        <w:rPr>
          <w:rFonts w:hint="eastAsia" w:cs="Arial" w:asciiTheme="minorEastAsia" w:hAnsiTheme="minorEastAsia" w:eastAsiaTheme="minorEastAsia"/>
          <w:color w:val="auto"/>
          <w:sz w:val="24"/>
          <w:highlight w:val="none"/>
        </w:rPr>
        <w:t>无。</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jc w:val="left"/>
        <w:rPr>
          <w:rFonts w:asciiTheme="minorEastAsia" w:hAnsiTheme="minorEastAsia" w:eastAsiaTheme="minorEastAsia"/>
          <w:b/>
          <w:color w:val="auto"/>
          <w:kern w:val="0"/>
          <w:sz w:val="24"/>
          <w:highlight w:val="none"/>
        </w:rPr>
      </w:pPr>
      <w:r>
        <w:rPr>
          <w:rFonts w:hint="eastAsia" w:cs="Arial" w:asciiTheme="minorEastAsia" w:hAnsiTheme="minorEastAsia" w:eastAsiaTheme="minorEastAsia"/>
          <w:b/>
          <w:color w:val="auto"/>
          <w:sz w:val="24"/>
          <w:highlight w:val="none"/>
        </w:rPr>
        <w:t>六、</w:t>
      </w:r>
      <w:r>
        <w:rPr>
          <w:rFonts w:hint="eastAsia" w:asciiTheme="minorEastAsia" w:hAnsiTheme="minorEastAsia" w:eastAsiaTheme="minorEastAsia"/>
          <w:b/>
          <w:color w:val="auto"/>
          <w:kern w:val="0"/>
          <w:sz w:val="24"/>
          <w:highlight w:val="none"/>
        </w:rPr>
        <w:t>投标截止时间、投标地点及开标时间、地点：</w:t>
      </w:r>
    </w:p>
    <w:p>
      <w:pPr>
        <w:pStyle w:val="100"/>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（一）、投标截止时间：2020年</w:t>
      </w:r>
      <w:r>
        <w:rPr>
          <w:rFonts w:hint="eastAsia" w:cs="Times New Roman" w:asciiTheme="minorEastAsia" w:hAnsiTheme="minorEastAsia" w:eastAsiaTheme="minorEastAsia"/>
          <w:color w:val="auto"/>
          <w:kern w:val="2"/>
          <w:sz w:val="24"/>
          <w:szCs w:val="24"/>
          <w:highlight w:val="none"/>
          <w:lang w:eastAsia="zh-CN"/>
        </w:rPr>
        <w:t>0</w:t>
      </w:r>
      <w:r>
        <w:rPr>
          <w:rFonts w:hint="eastAsia" w:cs="Times New Roman" w:asciiTheme="minorEastAsia" w:hAnsiTheme="minorEastAsia" w:eastAsiaTheme="minorEastAsia"/>
          <w:color w:val="auto"/>
          <w:kern w:val="2"/>
          <w:sz w:val="24"/>
          <w:szCs w:val="24"/>
          <w:highlight w:val="none"/>
          <w:lang w:val="en-US" w:eastAsia="zh-CN"/>
        </w:rPr>
        <w:t>7</w:t>
      </w:r>
      <w:r>
        <w:rPr>
          <w:rFonts w:hint="eastAsia" w:cs="Times New Roman" w:asciiTheme="minorEastAsia" w:hAnsiTheme="minorEastAsia" w:eastAsiaTheme="minorEastAsia"/>
          <w:color w:val="auto"/>
          <w:kern w:val="2"/>
          <w:sz w:val="24"/>
          <w:szCs w:val="24"/>
          <w:highlight w:val="none"/>
          <w:lang w:eastAsia="zh-CN"/>
        </w:rPr>
        <w:t>月</w:t>
      </w:r>
      <w:r>
        <w:rPr>
          <w:rFonts w:hint="eastAsia" w:cs="Times New Roman" w:asciiTheme="minorEastAsia" w:hAnsiTheme="minorEastAsia" w:eastAsiaTheme="minorEastAsia"/>
          <w:color w:val="auto"/>
          <w:kern w:val="2"/>
          <w:sz w:val="24"/>
          <w:szCs w:val="24"/>
          <w:highlight w:val="none"/>
          <w:lang w:val="en-US" w:eastAsia="zh-CN"/>
        </w:rPr>
        <w:t>07</w:t>
      </w:r>
      <w:r>
        <w:rPr>
          <w:rFonts w:hint="eastAsia" w:cs="Times New Roman" w:asciiTheme="minorEastAsia" w:hAnsiTheme="minorEastAsia" w:eastAsiaTheme="minorEastAsia"/>
          <w:color w:val="auto"/>
          <w:kern w:val="2"/>
          <w:sz w:val="24"/>
          <w:szCs w:val="24"/>
          <w:highlight w:val="none"/>
          <w:lang w:eastAsia="zh-CN"/>
        </w:rPr>
        <w:t>日</w:t>
      </w:r>
      <w:r>
        <w:rPr>
          <w:rFonts w:hint="eastAsia" w:cs="Times New Roman" w:asciiTheme="minorEastAsia" w:hAnsiTheme="minorEastAsia" w:eastAsiaTheme="minorEastAsia"/>
          <w:color w:val="auto"/>
          <w:kern w:val="2"/>
          <w:sz w:val="24"/>
          <w:szCs w:val="24"/>
          <w:highlight w:val="none"/>
        </w:rPr>
        <w:t>09:00:00</w:t>
      </w:r>
    </w:p>
    <w:p>
      <w:pPr>
        <w:pStyle w:val="100"/>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（二）、投标地点：通过“政府采购云平台（www.zcygov.cn）”实行在线投标响应。</w:t>
      </w:r>
    </w:p>
    <w:p>
      <w:pPr>
        <w:pStyle w:val="100"/>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（三）、开标时间：2020年</w:t>
      </w:r>
      <w:r>
        <w:rPr>
          <w:rFonts w:hint="eastAsia" w:cs="Times New Roman" w:asciiTheme="minorEastAsia" w:hAnsiTheme="minorEastAsia" w:eastAsiaTheme="minorEastAsia"/>
          <w:color w:val="auto"/>
          <w:kern w:val="2"/>
          <w:sz w:val="24"/>
          <w:szCs w:val="24"/>
          <w:highlight w:val="none"/>
          <w:lang w:eastAsia="zh-CN"/>
        </w:rPr>
        <w:t>0</w:t>
      </w:r>
      <w:r>
        <w:rPr>
          <w:rFonts w:hint="eastAsia" w:cs="Times New Roman" w:asciiTheme="minorEastAsia" w:hAnsiTheme="minorEastAsia" w:eastAsiaTheme="minorEastAsia"/>
          <w:color w:val="auto"/>
          <w:kern w:val="2"/>
          <w:sz w:val="24"/>
          <w:szCs w:val="24"/>
          <w:highlight w:val="none"/>
          <w:lang w:val="en-US" w:eastAsia="zh-CN"/>
        </w:rPr>
        <w:t>7</w:t>
      </w:r>
      <w:r>
        <w:rPr>
          <w:rFonts w:hint="eastAsia" w:cs="Times New Roman" w:asciiTheme="minorEastAsia" w:hAnsiTheme="minorEastAsia" w:eastAsiaTheme="minorEastAsia"/>
          <w:color w:val="auto"/>
          <w:kern w:val="2"/>
          <w:sz w:val="24"/>
          <w:szCs w:val="24"/>
          <w:highlight w:val="none"/>
          <w:lang w:eastAsia="zh-CN"/>
        </w:rPr>
        <w:t>月</w:t>
      </w:r>
      <w:r>
        <w:rPr>
          <w:rFonts w:hint="eastAsia" w:cs="Times New Roman" w:asciiTheme="minorEastAsia" w:hAnsiTheme="minorEastAsia" w:eastAsiaTheme="minorEastAsia"/>
          <w:color w:val="auto"/>
          <w:kern w:val="2"/>
          <w:sz w:val="24"/>
          <w:szCs w:val="24"/>
          <w:highlight w:val="none"/>
          <w:lang w:val="en-US" w:eastAsia="zh-CN"/>
        </w:rPr>
        <w:t>07</w:t>
      </w:r>
      <w:r>
        <w:rPr>
          <w:rFonts w:hint="eastAsia" w:cs="Times New Roman" w:asciiTheme="minorEastAsia" w:hAnsiTheme="minorEastAsia" w:eastAsiaTheme="minorEastAsia"/>
          <w:color w:val="auto"/>
          <w:kern w:val="2"/>
          <w:sz w:val="24"/>
          <w:szCs w:val="24"/>
          <w:highlight w:val="none"/>
          <w:lang w:eastAsia="zh-CN"/>
        </w:rPr>
        <w:t>日</w:t>
      </w:r>
      <w:r>
        <w:rPr>
          <w:rFonts w:hint="eastAsia" w:cs="Times New Roman" w:asciiTheme="minorEastAsia" w:hAnsiTheme="minorEastAsia" w:eastAsiaTheme="minorEastAsia"/>
          <w:color w:val="auto"/>
          <w:kern w:val="2"/>
          <w:sz w:val="24"/>
          <w:szCs w:val="24"/>
          <w:highlight w:val="none"/>
        </w:rPr>
        <w:t>09:00:00</w:t>
      </w:r>
    </w:p>
    <w:p>
      <w:pPr>
        <w:pStyle w:val="100"/>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（四）、开标地点：通过“政府采购云平台（www.zcygov.cn）”实行在线投标响应。</w:t>
      </w:r>
    </w:p>
    <w:p>
      <w:pPr>
        <w:pStyle w:val="100"/>
        <w:snapToGrid w:val="0"/>
        <w:spacing w:line="360" w:lineRule="auto"/>
        <w:ind w:firstLine="482" w:firstLineChars="200"/>
        <w:rPr>
          <w:rFonts w:cs="Times New Roman" w:asciiTheme="minorEastAsia" w:hAnsiTheme="minorEastAsia" w:eastAsiaTheme="minorEastAsia"/>
          <w:b/>
          <w:bCs/>
          <w:color w:val="auto"/>
          <w:kern w:val="2"/>
          <w:sz w:val="24"/>
          <w:szCs w:val="24"/>
          <w:highlight w:val="none"/>
        </w:rPr>
      </w:pPr>
      <w:r>
        <w:rPr>
          <w:rFonts w:hint="eastAsia" w:cs="Times New Roman" w:asciiTheme="minorEastAsia" w:hAnsiTheme="minorEastAsia" w:eastAsiaTheme="minorEastAsia"/>
          <w:b/>
          <w:bCs/>
          <w:color w:val="auto"/>
          <w:kern w:val="2"/>
          <w:sz w:val="24"/>
          <w:szCs w:val="24"/>
          <w:highlight w:val="none"/>
        </w:rPr>
        <w:t>在线投标响应（电子招投标）说明：</w:t>
      </w:r>
    </w:p>
    <w:p>
      <w:pPr>
        <w:pStyle w:val="100"/>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1、本项目通过“政府采购云平台（www.zcygov.cn）”实行在线投标响应（电子招投标），供应商应先安装“政采云电子交易客户端”（请自行前往“浙江政府采购网-下载专区-电子交易客户端”进行下载），并按照本项目招标文件和“政府采购云平台”的要求编制、加密并递交投标文件。电子投标具体操作流程详见《供应商项目采购-电子招投标操作指南》，供应商在使用系统参与在线投标时如遇平台技术问题，可致电咨询400-881-7190。</w:t>
      </w:r>
    </w:p>
    <w:p>
      <w:pPr>
        <w:pStyle w:val="100"/>
        <w:snapToGrid w:val="0"/>
        <w:spacing w:line="360" w:lineRule="auto"/>
        <w:ind w:firstLine="480" w:firstLineChars="200"/>
        <w:rPr>
          <w:rFonts w:cs="Times New Roman" w:asciiTheme="minorEastAsia" w:hAnsiTheme="minorEastAsia" w:eastAsiaTheme="minorEastAsia"/>
          <w:color w:val="auto"/>
          <w:kern w:val="2"/>
          <w:sz w:val="24"/>
          <w:szCs w:val="24"/>
          <w:highlight w:val="none"/>
        </w:rPr>
      </w:pPr>
      <w:r>
        <w:rPr>
          <w:rFonts w:hint="eastAsia" w:cs="Times New Roman" w:asciiTheme="minorEastAsia" w:hAnsiTheme="minorEastAsia" w:eastAsiaTheme="minorEastAsia"/>
          <w:color w:val="auto"/>
          <w:kern w:val="2"/>
          <w:sz w:val="24"/>
          <w:szCs w:val="24"/>
          <w:highlight w:val="none"/>
        </w:rPr>
        <w:t>2、为确保网上操作合法、有效和安全，确保在电子投标过程中能够对相关数据电文进行加密和使用电子签章，潜在供应商应当在投标截止时间前，完成电子交易平台上的CA数字证书办理。（申领流程请自行前往“浙江政府采购网-下载专区-电子交易客户端-</w:t>
      </w:r>
      <w:r>
        <w:rPr>
          <w:color w:val="auto"/>
          <w:highlight w:val="none"/>
        </w:rPr>
        <w:fldChar w:fldCharType="begin"/>
      </w:r>
      <w:r>
        <w:rPr>
          <w:color w:val="auto"/>
          <w:highlight w:val="none"/>
        </w:rPr>
        <w:instrText xml:space="preserve"> HYPERLINK "http://www.zjzfcg.gov.cn/bidClientTemplate/2019-05-27/12945.html" \t "_blank" \o "CA驱动和申领流程" </w:instrText>
      </w:r>
      <w:r>
        <w:rPr>
          <w:color w:val="auto"/>
          <w:highlight w:val="none"/>
        </w:rPr>
        <w:fldChar w:fldCharType="separate"/>
      </w:r>
      <w:r>
        <w:rPr>
          <w:rFonts w:hint="eastAsia" w:cs="Times New Roman" w:asciiTheme="minorEastAsia" w:hAnsiTheme="minorEastAsia" w:eastAsiaTheme="minorEastAsia"/>
          <w:color w:val="auto"/>
          <w:kern w:val="2"/>
          <w:sz w:val="24"/>
          <w:szCs w:val="24"/>
          <w:highlight w:val="none"/>
        </w:rPr>
        <w:t>CA驱动和申领流程</w:t>
      </w:r>
      <w:r>
        <w:rPr>
          <w:rFonts w:hint="eastAsia" w:cs="Times New Roman" w:asciiTheme="minorEastAsia" w:hAnsiTheme="minorEastAsia" w:eastAsiaTheme="minorEastAsia"/>
          <w:color w:val="auto"/>
          <w:kern w:val="2"/>
          <w:sz w:val="24"/>
          <w:szCs w:val="24"/>
          <w:highlight w:val="none"/>
        </w:rPr>
        <w:fldChar w:fldCharType="end"/>
      </w:r>
      <w:r>
        <w:rPr>
          <w:rFonts w:hint="eastAsia" w:cs="Times New Roman" w:asciiTheme="minorEastAsia" w:hAnsiTheme="minorEastAsia" w:eastAsiaTheme="minorEastAsia"/>
          <w:color w:val="auto"/>
          <w:kern w:val="2"/>
          <w:sz w:val="24"/>
          <w:szCs w:val="24"/>
          <w:highlight w:val="none"/>
        </w:rPr>
        <w:t>”进行查阅）。完成CA数字证书办理预计一周左右，建议各投标人抓紧时间办理。</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hint="eastAsia" w:asciiTheme="minorEastAsia" w:hAnsiTheme="minorEastAsia"/>
          <w:color w:val="auto"/>
          <w:sz w:val="24"/>
          <w:highlight w:val="none"/>
        </w:rPr>
        <w:t>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r>
        <w:rPr>
          <w:rFonts w:hint="eastAsia" w:cs="Arial" w:asciiTheme="minorEastAsia" w:hAnsiTheme="minorEastAsia" w:eastAsiaTheme="minorEastAsia"/>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投标供应商在“政府采购云平台”完成“电子加密投标文件”的上传递交后，还可以（EMS邮寄或顺丰邮寄形式）在投标截止时间前递交以介质（U盘）存储的数据电文形式的“备份投标文件”一份，“备份投标文件”应当密封包装并在包装上注明投标项目名称、投标单位名称、“备份投标文件”、“开标时启封”字样并加盖公章。</w:t>
      </w:r>
    </w:p>
    <w:p>
      <w:pPr>
        <w:snapToGrid w:val="0"/>
        <w:spacing w:line="360" w:lineRule="auto"/>
        <w:ind w:firstLine="480" w:firstLineChars="200"/>
        <w:rPr>
          <w:rFonts w:eastAsiaTheme="minorEastAsia"/>
          <w:color w:val="auto"/>
          <w:highlight w:val="none"/>
        </w:rPr>
      </w:pPr>
      <w:r>
        <w:rPr>
          <w:rFonts w:hint="eastAsia" w:cs="Arial" w:asciiTheme="minorEastAsia" w:hAnsiTheme="minorEastAsia" w:eastAsiaTheme="minorEastAsia"/>
          <w:color w:val="auto"/>
          <w:sz w:val="24"/>
          <w:highlight w:val="none"/>
        </w:rPr>
        <w:t>5、通过“政府采购云平台”上传递交的“电子加密投标文件”无法按时解密，投标供应商递交了备份投标文件的，则以备份投标文件为依据，否则视为投标文件撤回。通过“政府采购云平台”上传递交的“电子加密投标文件”已按时解密的，“备份投标文件”自动失效。投标供应商仅递交备份投标文件的，其投标无效。</w:t>
      </w:r>
    </w:p>
    <w:p>
      <w:pPr>
        <w:snapToGrid w:val="0"/>
        <w:spacing w:line="360" w:lineRule="auto"/>
        <w:ind w:firstLine="482" w:firstLineChars="2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七</w:t>
      </w:r>
      <w:r>
        <w:rPr>
          <w:rFonts w:cs="Arial" w:asciiTheme="minorEastAsia" w:hAnsiTheme="minorEastAsia" w:eastAsiaTheme="minorEastAsia"/>
          <w:b/>
          <w:color w:val="auto"/>
          <w:sz w:val="24"/>
          <w:highlight w:val="none"/>
        </w:rPr>
        <w:t>、投标人信用信息查询渠道及截止时点、信用信息查询记录和证据留存的具体方式、信用信息的使用规则</w:t>
      </w:r>
      <w:r>
        <w:rPr>
          <w:rFonts w:hint="eastAsia" w:cs="Arial" w:asciiTheme="minorEastAsia" w:hAnsiTheme="minorEastAsia" w:eastAsiaTheme="minorEastAsia"/>
          <w:b/>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1、查询渠道：</w:t>
      </w:r>
      <w:r>
        <w:rPr>
          <w:rFonts w:hint="eastAsia" w:cs="Arial" w:asciiTheme="minorEastAsia" w:hAnsiTheme="minorEastAsia" w:eastAsiaTheme="minorEastAsia"/>
          <w:color w:val="auto"/>
          <w:szCs w:val="21"/>
          <w:highlight w:val="none"/>
        </w:rPr>
        <w:t>国家企业信用信息公示系统（http://www.gsxt.gov.cn/index.html）</w:t>
      </w:r>
      <w:r>
        <w:rPr>
          <w:rFonts w:hint="eastAsia" w:cs="Arial" w:asciiTheme="minorEastAsia" w:hAnsiTheme="minorEastAsia" w:eastAsiaTheme="minorEastAsia"/>
          <w:color w:val="auto"/>
          <w:sz w:val="24"/>
          <w:highlight w:val="none"/>
        </w:rPr>
        <w:t>。</w:t>
      </w:r>
    </w:p>
    <w:p>
      <w:pPr>
        <w:snapToGrid w:val="0"/>
        <w:spacing w:line="360" w:lineRule="auto"/>
        <w:ind w:firstLine="480" w:firstLineChars="200"/>
        <w:rPr>
          <w:rFonts w:cs="Arial" w:asciiTheme="minorEastAsia" w:hAnsiTheme="minorEastAsia" w:eastAsiaTheme="minorEastAsia"/>
          <w:b/>
          <w:bCs/>
          <w:color w:val="auto"/>
          <w:sz w:val="24"/>
          <w:highlight w:val="none"/>
          <w:shd w:val="clear" w:color="FFFFFF" w:fill="D9D9D9"/>
        </w:rPr>
      </w:pPr>
      <w:r>
        <w:rPr>
          <w:rFonts w:hint="eastAsia" w:cs="Arial" w:asciiTheme="minorEastAsia" w:hAnsiTheme="minorEastAsia" w:eastAsiaTheme="minorEastAsia"/>
          <w:color w:val="auto"/>
          <w:sz w:val="24"/>
          <w:highlight w:val="none"/>
        </w:rPr>
        <w:t>2、截止时点：开标后评标前。</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3、</w:t>
      </w:r>
      <w:r>
        <w:rPr>
          <w:rFonts w:cs="Arial" w:asciiTheme="minorEastAsia" w:hAnsiTheme="minorEastAsia" w:eastAsiaTheme="minorEastAsia"/>
          <w:color w:val="auto"/>
          <w:sz w:val="24"/>
          <w:highlight w:val="none"/>
        </w:rPr>
        <w:t>信用信息查询记录和证据留存的具体方式</w:t>
      </w:r>
      <w:r>
        <w:rPr>
          <w:rFonts w:hint="eastAsia" w:cs="Arial" w:asciiTheme="minorEastAsia" w:hAnsiTheme="minorEastAsia" w:eastAsiaTheme="minorEastAsia"/>
          <w:color w:val="auto"/>
          <w:sz w:val="24"/>
          <w:highlight w:val="none"/>
        </w:rPr>
        <w:t>：由采购组织机构在规定查询时间内打印信用信息查询记录并归入项目档案。</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color w:val="auto"/>
          <w:sz w:val="24"/>
          <w:highlight w:val="none"/>
        </w:rPr>
        <w:t>将被</w:t>
      </w:r>
      <w:r>
        <w:rPr>
          <w:rFonts w:hint="eastAsia" w:cs="Arial" w:asciiTheme="minorEastAsia" w:hAnsiTheme="minorEastAsia" w:eastAsiaTheme="minorEastAsia"/>
          <w:color w:val="auto"/>
          <w:sz w:val="24"/>
          <w:highlight w:val="none"/>
        </w:rPr>
        <w:t>拒绝其参与政府采购活动。</w:t>
      </w:r>
    </w:p>
    <w:p>
      <w:pPr>
        <w:snapToGrid w:val="0"/>
        <w:spacing w:line="360" w:lineRule="auto"/>
        <w:ind w:firstLine="482" w:firstLineChars="200"/>
        <w:rPr>
          <w:rFonts w:ascii="宋体" w:hAnsi="宋体" w:cs="Arial"/>
          <w:color w:val="auto"/>
          <w:sz w:val="24"/>
          <w:highlight w:val="none"/>
        </w:rPr>
      </w:pPr>
      <w:r>
        <w:rPr>
          <w:rFonts w:hint="eastAsia" w:cs="Arial" w:asciiTheme="minorEastAsia" w:hAnsiTheme="minorEastAsia" w:eastAsiaTheme="minorEastAsia"/>
          <w:b/>
          <w:bCs/>
          <w:color w:val="auto"/>
          <w:sz w:val="24"/>
          <w:highlight w:val="none"/>
        </w:rPr>
        <w:t>八</w:t>
      </w:r>
      <w:r>
        <w:rPr>
          <w:rFonts w:cs="Arial" w:asciiTheme="minorEastAsia" w:hAnsiTheme="minorEastAsia" w:eastAsiaTheme="minorEastAsia"/>
          <w:b/>
          <w:bCs/>
          <w:color w:val="auto"/>
          <w:sz w:val="24"/>
          <w:highlight w:val="none"/>
        </w:rPr>
        <w:t>、</w:t>
      </w:r>
      <w:r>
        <w:rPr>
          <w:rFonts w:hint="eastAsia" w:ascii="宋体" w:hAnsi="宋体" w:cs="Arial"/>
          <w:b/>
          <w:color w:val="auto"/>
          <w:sz w:val="24"/>
          <w:highlight w:val="none"/>
        </w:rPr>
        <w:t>相关注意事项</w:t>
      </w:r>
      <w:r>
        <w:rPr>
          <w:rFonts w:hint="eastAsia" w:ascii="宋体" w:hAnsi="宋体" w:cs="Arial"/>
          <w:color w:val="auto"/>
          <w:sz w:val="24"/>
          <w:highlight w:val="none"/>
        </w:rPr>
        <w:t>：</w:t>
      </w:r>
    </w:p>
    <w:p>
      <w:pPr>
        <w:snapToGrid w:val="0"/>
        <w:spacing w:line="360" w:lineRule="auto"/>
        <w:ind w:firstLine="480" w:firstLineChars="200"/>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1、供应商认为招标文件使自己的权益受到损害的，可以自收到招标文件之日（获取截止日之后收到招标文件的，以获取截止日为准）起7个工作日内且应当在采购响应截止时间之前，以书面形式一次性向采购人和采购代理机构提出同一环节的质疑。否则，被质疑人可不予接受。供应商质疑应当有明确的请求和必要的证明材料；采购人及招标代理机构按《政府采购质疑和投诉办法》（中华人民共和国财政部令第94号）进行处理供应商质疑事项。质疑供应商对采购人、采购代理机构的答复不满意或者采购人、采购代理机构未在规定的时间内作出答复的，可以在答复期满后十五个工作日内向同级政府采购监督管理部门投诉。</w:t>
      </w:r>
    </w:p>
    <w:p>
      <w:pPr>
        <w:snapToGrid w:val="0"/>
        <w:spacing w:line="360" w:lineRule="auto"/>
        <w:ind w:firstLine="480" w:firstLineChars="200"/>
        <w:rPr>
          <w:rFonts w:cs="Arial" w:asciiTheme="minorEastAsia" w:hAnsiTheme="minorEastAsia" w:eastAsiaTheme="minorEastAsia"/>
          <w:color w:val="auto"/>
          <w:sz w:val="18"/>
          <w:szCs w:val="18"/>
          <w:highlight w:val="none"/>
        </w:rPr>
      </w:pPr>
      <w:r>
        <w:rPr>
          <w:rFonts w:hint="eastAsia" w:cs="Arial" w:asciiTheme="minorEastAsia" w:hAnsiTheme="minorEastAsia" w:eastAsiaTheme="minorEastAsia"/>
          <w:color w:val="auto"/>
          <w:sz w:val="24"/>
          <w:highlight w:val="none"/>
        </w:rPr>
        <w:t>2、本项目所有公告发布网站：“浙江省政府采购网”</w:t>
      </w:r>
      <w:r>
        <w:rPr>
          <w:rFonts w:hint="eastAsia" w:cs="Arial" w:asciiTheme="minorEastAsia" w:hAnsiTheme="minorEastAsia" w:eastAsiaTheme="minorEastAsia"/>
          <w:color w:val="auto"/>
          <w:sz w:val="18"/>
          <w:szCs w:val="18"/>
          <w:highlight w:val="none"/>
        </w:rPr>
        <w:t>（http:// www.zjzfcg.gov.cn）</w:t>
      </w:r>
      <w:r>
        <w:rPr>
          <w:rFonts w:hint="eastAsia" w:cs="Arial" w:asciiTheme="minorEastAsia" w:hAnsiTheme="minorEastAsia" w:eastAsiaTheme="minorEastAsia"/>
          <w:color w:val="auto"/>
          <w:sz w:val="24"/>
          <w:highlight w:val="none"/>
        </w:rPr>
        <w:t>和“玉环市公共资源交易中心”</w:t>
      </w:r>
      <w:r>
        <w:rPr>
          <w:rFonts w:hint="eastAsia" w:cs="Arial" w:asciiTheme="minorEastAsia" w:hAnsiTheme="minorEastAsia" w:eastAsiaTheme="minorEastAsia"/>
          <w:color w:val="auto"/>
          <w:sz w:val="18"/>
          <w:szCs w:val="18"/>
          <w:highlight w:val="none"/>
        </w:rPr>
        <w:t>（ https://www.yhjyzx.com/News/zcfg/zfcg）。</w:t>
      </w:r>
    </w:p>
    <w:p>
      <w:pPr>
        <w:spacing w:line="360" w:lineRule="auto"/>
        <w:ind w:firstLine="590" w:firstLineChars="24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十、联系方式：</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（一）采购代理机构</w:t>
      </w:r>
    </w:p>
    <w:p>
      <w:pPr>
        <w:spacing w:line="360" w:lineRule="auto"/>
        <w:ind w:firstLine="600" w:firstLineChars="250"/>
        <w:rPr>
          <w:rFonts w:hint="eastAsia"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采购代理机构名称：台州恒信工程造价咨询有限公司</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项目联系人：张先生</w:t>
      </w:r>
    </w:p>
    <w:p>
      <w:pPr>
        <w:spacing w:line="360" w:lineRule="auto"/>
        <w:ind w:firstLine="600" w:firstLineChars="2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联系电话：0576-87229474 </w:t>
      </w:r>
    </w:p>
    <w:p>
      <w:pPr>
        <w:spacing w:line="360" w:lineRule="auto"/>
        <w:ind w:firstLine="600" w:firstLineChars="250"/>
        <w:rPr>
          <w:rFonts w:cs="Arial"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 xml:space="preserve">地址：玉环市玉城街道泰安路312号财富中心5号楼1002 </w:t>
      </w:r>
    </w:p>
    <w:p>
      <w:pPr>
        <w:snapToGrid w:val="0"/>
        <w:spacing w:line="360" w:lineRule="auto"/>
        <w:ind w:firstLine="602" w:firstLineChars="25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（二）采购人</w:t>
      </w:r>
      <w:r>
        <w:rPr>
          <w:rFonts w:hint="eastAsia" w:cs="Arial" w:asciiTheme="minorEastAsia" w:hAnsiTheme="minorEastAsia" w:eastAsiaTheme="minorEastAsia"/>
          <w:color w:val="auto"/>
          <w:sz w:val="24"/>
          <w:highlight w:val="none"/>
        </w:rPr>
        <w:t xml:space="preserve"> </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名称：</w:t>
      </w:r>
      <w:r>
        <w:rPr>
          <w:rFonts w:hint="eastAsia" w:cs="Arial" w:asciiTheme="minorEastAsia" w:hAnsiTheme="minorEastAsia" w:eastAsiaTheme="minorEastAsia"/>
          <w:color w:val="auto"/>
          <w:sz w:val="24"/>
          <w:highlight w:val="none"/>
        </w:rPr>
        <w:t>玉环市农业农村和水利局</w:t>
      </w:r>
    </w:p>
    <w:p>
      <w:pPr>
        <w:snapToGrid w:val="0"/>
        <w:spacing w:line="360" w:lineRule="auto"/>
        <w:ind w:firstLine="600" w:firstLineChars="250"/>
        <w:rPr>
          <w:rFonts w:cs="Arial" w:asciiTheme="minorEastAsia" w:hAnsiTheme="minorEastAsia" w:eastAsiaTheme="minorEastAsia"/>
          <w:color w:val="auto"/>
          <w:sz w:val="24"/>
          <w:highlight w:val="none"/>
        </w:rPr>
      </w:pPr>
      <w:r>
        <w:rPr>
          <w:rFonts w:cs="Arial" w:asciiTheme="minorEastAsia" w:hAnsiTheme="minorEastAsia" w:eastAsiaTheme="minorEastAsia"/>
          <w:color w:val="auto"/>
          <w:sz w:val="24"/>
          <w:highlight w:val="none"/>
        </w:rPr>
        <w:t>采购</w:t>
      </w:r>
      <w:r>
        <w:rPr>
          <w:rFonts w:hint="eastAsia" w:cs="Arial" w:asciiTheme="minorEastAsia" w:hAnsiTheme="minorEastAsia" w:eastAsiaTheme="minorEastAsia"/>
          <w:color w:val="auto"/>
          <w:sz w:val="24"/>
          <w:highlight w:val="none"/>
        </w:rPr>
        <w:t>人</w:t>
      </w:r>
      <w:r>
        <w:rPr>
          <w:rFonts w:cs="Arial" w:asciiTheme="minorEastAsia" w:hAnsiTheme="minorEastAsia" w:eastAsiaTheme="minorEastAsia"/>
          <w:color w:val="auto"/>
          <w:sz w:val="24"/>
          <w:highlight w:val="none"/>
        </w:rPr>
        <w:t>地址：</w:t>
      </w:r>
      <w:r>
        <w:rPr>
          <w:rFonts w:hint="eastAsia" w:cs="Arial" w:asciiTheme="minorEastAsia" w:hAnsiTheme="minorEastAsia" w:eastAsiaTheme="minorEastAsia"/>
          <w:color w:val="auto"/>
          <w:sz w:val="24"/>
          <w:highlight w:val="none"/>
        </w:rPr>
        <w:t>玉环市玉城街道城中路56号</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cs="Arial" w:asciiTheme="minorEastAsia" w:hAnsiTheme="minorEastAsia" w:eastAsiaTheme="minorEastAsia"/>
          <w:color w:val="auto"/>
          <w:sz w:val="24"/>
          <w:highlight w:val="none"/>
        </w:rPr>
        <w:t>联系人：</w:t>
      </w:r>
      <w:r>
        <w:rPr>
          <w:rFonts w:hint="eastAsia" w:cs="Arial" w:asciiTheme="minorEastAsia" w:hAnsiTheme="minorEastAsia" w:eastAsiaTheme="minorEastAsia"/>
          <w:color w:val="auto"/>
          <w:sz w:val="24"/>
          <w:highlight w:val="none"/>
          <w:lang w:eastAsia="zh-CN"/>
        </w:rPr>
        <w:t>林先生</w:t>
      </w:r>
    </w:p>
    <w:p>
      <w:pPr>
        <w:snapToGrid w:val="0"/>
        <w:spacing w:line="360" w:lineRule="auto"/>
        <w:ind w:firstLine="600" w:firstLineChars="250"/>
        <w:rPr>
          <w:rFonts w:hint="eastAsia" w:cs="Arial" w:asciiTheme="minorEastAsia" w:hAnsiTheme="minorEastAsia" w:eastAsiaTheme="minorEastAsia"/>
          <w:color w:val="auto"/>
          <w:sz w:val="24"/>
          <w:highlight w:val="none"/>
          <w:lang w:eastAsia="zh-CN"/>
        </w:rPr>
      </w:pPr>
      <w:r>
        <w:rPr>
          <w:rFonts w:hint="eastAsia" w:cs="Arial" w:asciiTheme="minorEastAsia" w:hAnsiTheme="minorEastAsia" w:eastAsiaTheme="minorEastAsia"/>
          <w:color w:val="auto"/>
          <w:sz w:val="24"/>
          <w:highlight w:val="none"/>
        </w:rPr>
        <w:t>联系电话：0576-</w:t>
      </w:r>
      <w:r>
        <w:rPr>
          <w:rFonts w:hint="eastAsia" w:cs="Arial" w:asciiTheme="minorEastAsia" w:hAnsiTheme="minorEastAsia" w:eastAsiaTheme="minorEastAsia"/>
          <w:color w:val="auto"/>
          <w:sz w:val="24"/>
          <w:highlight w:val="none"/>
          <w:lang w:eastAsia="zh-CN"/>
        </w:rPr>
        <w:t>89922722</w:t>
      </w:r>
    </w:p>
    <w:p>
      <w:pPr>
        <w:spacing w:line="360" w:lineRule="auto"/>
        <w:ind w:firstLine="472" w:firstLineChars="196"/>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（三）同级政府采购监督管理部门</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名称：玉环市财政局政府采购监督管理科</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联系人：谢主任   监督投诉电话：0576-87250185   传真：0576-87250185</w:t>
      </w:r>
    </w:p>
    <w:p>
      <w:pPr>
        <w:widowControl/>
        <w:spacing w:before="60" w:after="60" w:line="360" w:lineRule="auto"/>
        <w:ind w:left="60" w:right="60" w:firstLine="540"/>
        <w:jc w:val="left"/>
        <w:rPr>
          <w:rFonts w:cs="Arial" w:asciiTheme="minorEastAsia" w:hAnsiTheme="minorEastAsia" w:eastAsiaTheme="minorEastAsia"/>
          <w:color w:val="auto"/>
          <w:sz w:val="24"/>
          <w:highlight w:val="none"/>
        </w:rPr>
      </w:pPr>
      <w:r>
        <w:rPr>
          <w:rFonts w:hint="eastAsia" w:cs="Arial" w:asciiTheme="minorEastAsia" w:hAnsiTheme="minorEastAsia" w:eastAsiaTheme="minorEastAsia"/>
          <w:color w:val="auto"/>
          <w:sz w:val="24"/>
          <w:highlight w:val="none"/>
        </w:rPr>
        <w:t>地址：玉环市广陵路财政局5楼</w:t>
      </w:r>
    </w:p>
    <w:p>
      <w:pPr>
        <w:tabs>
          <w:tab w:val="left" w:pos="720"/>
          <w:tab w:val="left" w:pos="1440"/>
          <w:tab w:val="left" w:pos="2160"/>
          <w:tab w:val="left" w:pos="2880"/>
          <w:tab w:val="left" w:pos="3600"/>
          <w:tab w:val="left" w:pos="4320"/>
          <w:tab w:val="left" w:pos="5040"/>
          <w:tab w:val="left" w:pos="5760"/>
          <w:tab w:val="left" w:pos="8400"/>
        </w:tabs>
        <w:autoSpaceDE w:val="0"/>
        <w:autoSpaceDN w:val="0"/>
        <w:adjustRightInd w:val="0"/>
        <w:spacing w:line="240" w:lineRule="atLeast"/>
        <w:ind w:left="1440" w:right="-94"/>
        <w:jc w:val="right"/>
        <w:rPr>
          <w:rFonts w:asciiTheme="minorEastAsia" w:hAnsiTheme="minorEastAsia" w:eastAsiaTheme="minorEastAsia" w:cstheme="minorEastAsia"/>
          <w:color w:val="auto"/>
          <w:sz w:val="24"/>
          <w:highlight w:val="none"/>
        </w:rPr>
      </w:pPr>
      <w:r>
        <w:rPr>
          <w:rFonts w:hint="eastAsia" w:cs="Arial" w:asciiTheme="minorEastAsia" w:hAnsiTheme="minorEastAsia" w:eastAsiaTheme="minorEastAsia"/>
          <w:color w:val="auto"/>
          <w:sz w:val="24"/>
          <w:highlight w:val="none"/>
        </w:rPr>
        <w:t>台州</w:t>
      </w:r>
      <w:r>
        <w:rPr>
          <w:rFonts w:hint="eastAsia" w:asciiTheme="minorEastAsia" w:hAnsiTheme="minorEastAsia" w:eastAsiaTheme="minorEastAsia" w:cstheme="minorEastAsia"/>
          <w:color w:val="auto"/>
          <w:sz w:val="24"/>
          <w:highlight w:val="none"/>
        </w:rPr>
        <w:t>恒信工程造价咨询有限公司</w:t>
      </w:r>
    </w:p>
    <w:p>
      <w:pPr>
        <w:tabs>
          <w:tab w:val="left" w:pos="720"/>
          <w:tab w:val="left" w:pos="1260"/>
          <w:tab w:val="left" w:pos="2160"/>
          <w:tab w:val="left" w:pos="2880"/>
          <w:tab w:val="left" w:pos="3600"/>
          <w:tab w:val="left" w:pos="4320"/>
          <w:tab w:val="left" w:pos="5040"/>
          <w:tab w:val="left" w:pos="5760"/>
          <w:tab w:val="left" w:pos="8280"/>
        </w:tabs>
        <w:wordWrap w:val="0"/>
        <w:autoSpaceDE w:val="0"/>
        <w:autoSpaceDN w:val="0"/>
        <w:adjustRightInd w:val="0"/>
        <w:spacing w:before="100" w:line="360" w:lineRule="auto"/>
        <w:ind w:right="23" w:firstLine="539"/>
        <w:jc w:val="right"/>
        <w:rPr>
          <w:color w:val="auto"/>
          <w:highlight w:val="none"/>
        </w:rPr>
      </w:pPr>
      <w:r>
        <w:rPr>
          <w:rFonts w:hint="eastAsia" w:asciiTheme="minorEastAsia" w:hAnsiTheme="minorEastAsia" w:eastAsiaTheme="minorEastAsia" w:cstheme="minorEastAsia"/>
          <w:color w:val="auto"/>
          <w:kern w:val="0"/>
          <w:sz w:val="24"/>
          <w:highlight w:val="none"/>
        </w:rPr>
        <w:t xml:space="preserve">           2020年0</w:t>
      </w:r>
      <w:r>
        <w:rPr>
          <w:rFonts w:hint="eastAsia" w:asciiTheme="minorEastAsia" w:hAnsiTheme="minorEastAsia" w:eastAsiaTheme="minorEastAsia" w:cstheme="minorEastAsia"/>
          <w:color w:val="auto"/>
          <w:kern w:val="0"/>
          <w:sz w:val="24"/>
          <w:highlight w:val="none"/>
          <w:lang w:val="en-US" w:eastAsia="zh-CN"/>
        </w:rPr>
        <w:t>6</w:t>
      </w:r>
      <w:r>
        <w:rPr>
          <w:rFonts w:hint="eastAsia" w:asciiTheme="minorEastAsia" w:hAnsiTheme="minorEastAsia" w:eastAsiaTheme="minorEastAsia" w:cstheme="minorEastAsia"/>
          <w:color w:val="auto"/>
          <w:kern w:val="0"/>
          <w:sz w:val="24"/>
          <w:highlight w:val="none"/>
        </w:rPr>
        <w:t>月</w:t>
      </w:r>
    </w:p>
    <w:p>
      <w:pPr>
        <w:rPr>
          <w:rFonts w:asciiTheme="minorEastAsia" w:hAnsiTheme="minorEastAsia" w:eastAsiaTheme="minorEastAsia"/>
          <w:b/>
          <w:color w:val="auto"/>
          <w:sz w:val="36"/>
          <w:szCs w:val="36"/>
          <w:highlight w:val="none"/>
        </w:rPr>
      </w:pPr>
      <w:r>
        <w:rPr>
          <w:color w:val="auto"/>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投标人须知</w:t>
      </w:r>
    </w:p>
    <w:p>
      <w:pPr>
        <w:spacing w:line="360" w:lineRule="auto"/>
        <w:jc w:val="cente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前附表</w:t>
      </w:r>
    </w:p>
    <w:tbl>
      <w:tblPr>
        <w:tblStyle w:val="22"/>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970"/>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    目</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供应商特定资格要求</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答疑会或</w:t>
            </w:r>
            <w:r>
              <w:rPr>
                <w:rFonts w:hint="eastAsia" w:asciiTheme="minorEastAsia" w:hAnsiTheme="minorEastAsia" w:eastAsiaTheme="minorEastAsia" w:cstheme="minorEastAsia"/>
                <w:color w:val="auto"/>
                <w:sz w:val="24"/>
                <w:highlight w:val="none"/>
              </w:rPr>
              <w:t>现场踏勘</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各供应商请自行踏勘。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投标文件组成</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投标文件由“资格证明文件”、“商务与技术文件”、“报价文件”三部分组成。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投标文件的编制</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应先安装“政采云电子交易客户端”，并按照本招标文件和“政府采购云平台”的要求，通过“政采云电子交易客户端”编制并加密投标文件。（请自行前往“浙江政府采购网-下载专区-电子交易客户端”进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投标文件的形式</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电子投标文件（包括“电子加密投标文件”和“备份投标文件”， 在投标文件编制完成后同时生成）；</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（1）“电子加密投标文件”是指通过“政采云电子交易客户端”完成投标文件编制后生成并加密的数据电文形式的投标文件。</w:t>
            </w:r>
          </w:p>
          <w:p>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highlight w:val="none"/>
              </w:rPr>
              <w:t>（2）“备份投标文件”是指与“电子加密投标文件”同时生成的数据电文形式的电子文件，其他方式编制的备份投标文件视为无效备份投标文件。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投标文件份数</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（1）“电子加密投标文件”：“政府采购云平台”线上传递交；一份。</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备份投标文件”（若有）：请于投标截止时间前递交（EMS邮寄或顺丰邮寄形式），密封包装并在包装上注明投标项目名称、投标单位名称、“备份投标文件”、“开标时启封”字样并加盖公章（邮寄地址：玉环市玉城街道泰安路312号财富中心5号楼1002  张先生收）；一份。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投标文件的上传和递交</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（1）“电子加密投标文件”的上传、递交：</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a.投标供应商应在投标截止时间前将“电子加密投标文件”成功上传递交至“政府采购云平台”，否则投标无效。</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b.“电子加密投标文件”成功上传递交后，供应商可自行打印投标文件接收回执。</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（2）“备份投标文件”的密封包装、递交：</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a.投标供应商在“政府采购云平台”完成“电子加密投标文件”的上传递交后，还可以（EMS邮寄或顺丰邮寄形式）在投标截止时间前递交以介质（U盘）存储的数据电文形式的“备份投标文件”一份；“备份投标文件”应当密封包装，并在包装上注明投标项目名称、投标单位名称、“备份投标文件”、“开标时启封”字样并加盖公章。未密封包装或者逾期邮寄送达的“备份投标文件”将不予接收；</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b.通过“政府采购云平台”上传递交的“电子加密投标文件”已按时解密的，“备份投标文件”自动失效。若投标截止时间前，投标供应商仅递交了“备份投标文件”而未将“电子加密投标文件”成功上传至“政府采购云平台”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电子加密投标文件的解密和异常情况处理</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时间到，采购组织机构将向各投标供应商发出“电子加密投标文件”的解密通知，各投标供应商代表应当在接到解密通知后30分钟内自行完成“电子加密投标文件”的在线解密（供应商须登录“政府采购云平台”，使用“项目采购——开标评标”功能解密）。</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（2）通过“政府采购云平台”成功上传递交的“电子加密投标文件”无法按时解密，若投标供应商按规定递交了“备份投标文件”的，则</w:t>
            </w:r>
            <w:r>
              <w:rPr>
                <w:rFonts w:hint="eastAsia" w:ascii="宋体" w:hAnsi="宋体" w:cs="宋体"/>
                <w:bCs/>
                <w:color w:val="auto"/>
                <w:sz w:val="24"/>
                <w:highlight w:val="none"/>
              </w:rPr>
              <w:t>启用</w:t>
            </w:r>
            <w:r>
              <w:rPr>
                <w:rFonts w:hint="eastAsia" w:asciiTheme="minorEastAsia" w:hAnsiTheme="minorEastAsia" w:eastAsiaTheme="minorEastAsia" w:cstheme="minorEastAsia"/>
                <w:color w:val="auto"/>
                <w:sz w:val="24"/>
                <w:highlight w:val="none"/>
              </w:rPr>
              <w:t>“备份投标文件”（由采购组织机构按“政府采购云平台”操作规范将“备份投标文件”上传至“政府采购云平台”，上传成功后，“电子加密投标文件”自动失效），否则视为投标文件撤回。</w:t>
            </w:r>
          </w:p>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（3）若投标截止时间前，投标供应商仅递交了“备份投标文件”而未将“电子加密投标文件”成功上传至“政府采购云平台”的，其投标无效。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投标有效期为开标后90天，</w:t>
            </w:r>
            <w:r>
              <w:rPr>
                <w:rFonts w:hint="eastAsia" w:asciiTheme="minorEastAsia" w:hAnsiTheme="minorEastAsia" w:eastAsiaTheme="minorEastAsia" w:cstheme="minorEastAsia"/>
                <w:color w:val="auto"/>
                <w:kern w:val="0"/>
                <w:sz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投标文件递交</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截止时间：北京时间2020年</w:t>
            </w:r>
            <w:r>
              <w:rPr>
                <w:rFonts w:hint="eastAsia" w:asciiTheme="minorEastAsia" w:hAnsiTheme="minorEastAsia" w:eastAsiaTheme="minorEastAsia" w:cstheme="minorEastAsia"/>
                <w:color w:val="auto"/>
                <w:sz w:val="24"/>
                <w:highlight w:val="none"/>
                <w:lang w:eastAsia="zh-CN"/>
              </w:rPr>
              <w:t>0</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lang w:eastAsia="zh-CN"/>
              </w:rPr>
              <w:t>月</w:t>
            </w:r>
            <w:r>
              <w:rPr>
                <w:rFonts w:hint="eastAsia" w:asciiTheme="minorEastAsia" w:hAnsiTheme="minorEastAsia" w:eastAsiaTheme="minorEastAsia" w:cstheme="minorEastAsia"/>
                <w:color w:val="auto"/>
                <w:sz w:val="24"/>
                <w:highlight w:val="none"/>
                <w:lang w:val="en-US" w:eastAsia="zh-CN"/>
              </w:rPr>
              <w:t>07</w:t>
            </w:r>
            <w:r>
              <w:rPr>
                <w:rFonts w:hint="eastAsia" w:asciiTheme="minorEastAsia" w:hAnsiTheme="minorEastAsia" w:eastAsiaTheme="minorEastAsia" w:cstheme="minorEastAsia"/>
                <w:color w:val="auto"/>
                <w:sz w:val="24"/>
                <w:highlight w:val="none"/>
                <w:lang w:eastAsia="zh-CN"/>
              </w:rPr>
              <w:t>日</w:t>
            </w:r>
            <w:r>
              <w:rPr>
                <w:rFonts w:hint="eastAsia" w:asciiTheme="minorEastAsia" w:hAnsiTheme="minorEastAsia" w:eastAsiaTheme="minorEastAsia" w:cstheme="minorEastAsia"/>
                <w:color w:val="auto"/>
                <w:sz w:val="24"/>
                <w:highlight w:val="none"/>
              </w:rPr>
              <w:t>09:</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0</w:t>
            </w:r>
          </w:p>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递交地点：通过“政府采购云平台（www.zcygov.cn）”实行在线投标响应。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开标时间及地点</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同投标文件递交截止时间及递交地点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投标保证金</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本项目不设投标保证金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6050" w:type="dxa"/>
            <w:tcBorders>
              <w:top w:val="single" w:color="auto" w:sz="4" w:space="0"/>
              <w:left w:val="single" w:color="auto" w:sz="4" w:space="0"/>
              <w:bottom w:val="single" w:color="auto" w:sz="4" w:space="0"/>
              <w:right w:val="single" w:color="auto" w:sz="4" w:space="0"/>
            </w:tcBorders>
            <w:vAlign w:val="center"/>
          </w:tcPr>
          <w:p>
            <w:pPr>
              <w:pStyle w:val="14"/>
              <w:spacing w:line="360" w:lineRule="auto"/>
              <w:ind w:left="0" w:left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本项目不设</w:t>
            </w:r>
            <w:r>
              <w:rPr>
                <w:rFonts w:hint="eastAsia" w:asciiTheme="minorEastAsia" w:hAnsiTheme="minorEastAsia" w:eastAsiaTheme="minorEastAsia" w:cstheme="minorEastAsia"/>
                <w:color w:val="auto"/>
                <w:sz w:val="24"/>
                <w:highlight w:val="none"/>
              </w:rPr>
              <w:t>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政府采购</w:t>
            </w:r>
          </w:p>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扶持政策</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1、对符合财政扶持政策的小微企业（或监狱企业、或残疾人福利性单位）给予评标价格折扣。供应商企业属于以上多种性质的，不重复享受扶持政策。</w:t>
            </w:r>
          </w:p>
          <w:p>
            <w:pPr>
              <w:spacing w:line="360" w:lineRule="auto"/>
              <w:jc w:val="left"/>
              <w:rPr>
                <w:rFonts w:ascii="宋体" w:hAnsi="宋体" w:cs="宋体"/>
                <w:color w:val="auto"/>
                <w:sz w:val="22"/>
                <w:szCs w:val="22"/>
                <w:highlight w:val="none"/>
              </w:rPr>
            </w:pPr>
            <w:r>
              <w:rPr>
                <w:rFonts w:hint="eastAsia" w:asciiTheme="minorEastAsia" w:hAnsiTheme="minorEastAsia" w:eastAsiaTheme="minorEastAsia" w:cstheme="minorEastAsia"/>
                <w:color w:val="auto"/>
                <w:sz w:val="24"/>
                <w:highlight w:val="none"/>
              </w:rPr>
              <w:t>2、对节能、环保产品优先采购。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19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投标文件备案</w:t>
            </w:r>
          </w:p>
        </w:tc>
        <w:tc>
          <w:tcPr>
            <w:tcW w:w="60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中标单位需在中标确认后7个工作日内，邮寄1套纸质投标文件至招标代理机构。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19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lang w:val="zh-CN"/>
              </w:rPr>
              <w:t>实质性条款</w:t>
            </w:r>
          </w:p>
        </w:tc>
        <w:tc>
          <w:tcPr>
            <w:tcW w:w="6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带“</w:t>
            </w:r>
            <w:r>
              <w:rPr>
                <w:rFonts w:hint="eastAsia" w:asciiTheme="minorEastAsia" w:hAnsiTheme="minorEastAsia" w:eastAsiaTheme="minorEastAsia" w:cstheme="minorEastAsia"/>
                <w:bCs/>
                <w:color w:val="auto"/>
                <w:sz w:val="24"/>
                <w:highlight w:val="none"/>
              </w:rPr>
              <w:t>▲”的条款是实质性条款，投标文件须作出实质性响</w:t>
            </w:r>
            <w:r>
              <w:rPr>
                <w:rFonts w:hint="eastAsia" w:asciiTheme="minorEastAsia" w:hAnsiTheme="minorEastAsia" w:eastAsiaTheme="minorEastAsia" w:cstheme="minorEastAsia"/>
                <w:color w:val="auto"/>
                <w:kern w:val="0"/>
                <w:sz w:val="24"/>
                <w:highlight w:val="none"/>
                <w:lang w:val="zh-CN"/>
              </w:rPr>
              <w:t>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19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解释权</w:t>
            </w:r>
          </w:p>
        </w:tc>
        <w:tc>
          <w:tcPr>
            <w:tcW w:w="60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本招标文件解释权属于采购人和采购代理机构。</w:t>
            </w:r>
          </w:p>
        </w:tc>
      </w:tr>
    </w:tbl>
    <w:p>
      <w:pPr>
        <w:pStyle w:val="13"/>
        <w:snapToGrid w:val="0"/>
        <w:spacing w:before="120" w:after="120" w:line="360" w:lineRule="auto"/>
        <w:rPr>
          <w:rFonts w:asciiTheme="minorEastAsia" w:hAnsiTheme="minorEastAsia" w:eastAsiaTheme="minorEastAsia"/>
          <w:b/>
          <w:color w:val="auto"/>
          <w:sz w:val="24"/>
          <w:highlight w:val="none"/>
        </w:rPr>
      </w:pPr>
    </w:p>
    <w:p>
      <w:pPr>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pPr>
        <w:pStyle w:val="13"/>
        <w:snapToGrid w:val="0"/>
        <w:spacing w:before="120" w:after="120"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 、总  则</w:t>
      </w:r>
    </w:p>
    <w:p>
      <w:pPr>
        <w:snapToGrid w:val="0"/>
        <w:spacing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w:t>
      </w:r>
      <w:r>
        <w:rPr>
          <w:rFonts w:asciiTheme="minorEastAsia" w:hAnsiTheme="minorEastAsia" w:eastAsiaTheme="minorEastAsia"/>
          <w:b/>
          <w:color w:val="auto"/>
          <w:sz w:val="24"/>
          <w:highlight w:val="none"/>
        </w:rPr>
        <w:t xml:space="preserve"> 适用范围</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本招标文件适用于</w:t>
      </w:r>
      <w:r>
        <w:rPr>
          <w:rFonts w:hint="eastAsia" w:asciiTheme="minorEastAsia" w:hAnsiTheme="minorEastAsia" w:eastAsiaTheme="minorEastAsia"/>
          <w:bCs/>
          <w:color w:val="auto"/>
          <w:sz w:val="24"/>
          <w:highlight w:val="none"/>
        </w:rPr>
        <w:t>本次</w:t>
      </w:r>
      <w:r>
        <w:rPr>
          <w:rFonts w:hint="eastAsia" w:asciiTheme="minorEastAsia" w:hAnsiTheme="minorEastAsia" w:eastAsiaTheme="minorEastAsia"/>
          <w:color w:val="auto"/>
          <w:sz w:val="24"/>
          <w:highlight w:val="none"/>
        </w:rPr>
        <w:t>项目的招标、投标、评标、定标、验收、合同履约、付款等行为（法律、法规另有规定的，从其规定）。</w:t>
      </w:r>
    </w:p>
    <w:p>
      <w:pPr>
        <w:snapToGrid w:val="0"/>
        <w:spacing w:before="156" w:beforeLines="50" w:line="360" w:lineRule="auto"/>
        <w:ind w:firstLine="354" w:firstLineChars="147"/>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（二）定义</w:t>
      </w:r>
    </w:p>
    <w:p>
      <w:pPr>
        <w:pStyle w:val="6"/>
        <w:keepNext w:val="0"/>
        <w:keepLines w:val="0"/>
        <w:tabs>
          <w:tab w:val="left" w:pos="0"/>
          <w:tab w:val="left" w:pos="851"/>
        </w:tabs>
        <w:autoSpaceDE w:val="0"/>
        <w:autoSpaceDN w:val="0"/>
        <w:adjustRightInd w:val="0"/>
        <w:snapToGrid w:val="0"/>
        <w:spacing w:before="0" w:after="0"/>
        <w:ind w:firstLine="566" w:firstLineChars="236"/>
        <w:jc w:val="left"/>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color w:val="auto"/>
          <w:sz w:val="24"/>
          <w:szCs w:val="24"/>
          <w:highlight w:val="none"/>
        </w:rPr>
        <w:t>1、</w:t>
      </w:r>
      <w:r>
        <w:rPr>
          <w:rFonts w:hint="eastAsia" w:ascii="宋体" w:hAnsi="宋体"/>
          <w:b w:val="0"/>
          <w:bCs w:val="0"/>
          <w:color w:val="auto"/>
          <w:sz w:val="24"/>
          <w:szCs w:val="24"/>
          <w:highlight w:val="none"/>
          <w:lang w:val="zh-CN"/>
        </w:rPr>
        <w:t>“采购组织机构”指采购人委托组织招标的采购代理机构。</w:t>
      </w:r>
    </w:p>
    <w:p>
      <w:pPr>
        <w:snapToGrid w:val="0"/>
        <w:spacing w:line="360" w:lineRule="auto"/>
        <w:ind w:firstLine="566" w:firstLineChars="236"/>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2、采购人：是指委托采购代理机构采购本次项目的国家机关、事业单位和团体组织。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投标人</w:t>
      </w:r>
      <w:r>
        <w:rPr>
          <w:rFonts w:hint="eastAsia" w:asciiTheme="minorEastAsia" w:hAnsiTheme="minorEastAsia" w:eastAsiaTheme="minorEastAsia"/>
          <w:color w:val="auto"/>
          <w:sz w:val="24"/>
          <w:highlight w:val="none"/>
        </w:rPr>
        <w:t>（即投标供应商）：是</w:t>
      </w:r>
      <w:r>
        <w:rPr>
          <w:rFonts w:asciiTheme="minorEastAsia" w:hAnsiTheme="minorEastAsia" w:eastAsiaTheme="minorEastAsia"/>
          <w:color w:val="auto"/>
          <w:sz w:val="24"/>
          <w:highlight w:val="none"/>
        </w:rPr>
        <w:t>指向</w:t>
      </w:r>
      <w:r>
        <w:rPr>
          <w:rFonts w:hint="eastAsia" w:asciiTheme="minorEastAsia" w:hAnsiTheme="minorEastAsia" w:eastAsiaTheme="minorEastAsia"/>
          <w:color w:val="auto"/>
          <w:sz w:val="24"/>
          <w:highlight w:val="none"/>
        </w:rPr>
        <w:t>采购</w:t>
      </w:r>
      <w:r>
        <w:rPr>
          <w:rFonts w:hint="eastAsia" w:ascii="宋体" w:hAnsi="宋体"/>
          <w:color w:val="auto"/>
          <w:sz w:val="24"/>
          <w:highlight w:val="none"/>
          <w:lang w:val="zh-CN"/>
        </w:rPr>
        <w:t>组织</w:t>
      </w:r>
      <w:r>
        <w:rPr>
          <w:rFonts w:hint="eastAsia" w:asciiTheme="minorEastAsia" w:hAnsiTheme="minorEastAsia" w:eastAsiaTheme="minorEastAsia"/>
          <w:color w:val="auto"/>
          <w:sz w:val="24"/>
          <w:highlight w:val="none"/>
        </w:rPr>
        <w:t>机构</w:t>
      </w:r>
      <w:r>
        <w:rPr>
          <w:rFonts w:asciiTheme="minorEastAsia" w:hAnsiTheme="minorEastAsia" w:eastAsiaTheme="minorEastAsia"/>
          <w:color w:val="auto"/>
          <w:sz w:val="24"/>
          <w:highlight w:val="none"/>
        </w:rPr>
        <w:t>提交投标文件的单位或个人。</w:t>
      </w:r>
    </w:p>
    <w:p>
      <w:pPr>
        <w:snapToGrid w:val="0"/>
        <w:spacing w:line="360" w:lineRule="auto"/>
        <w:ind w:left="424" w:leftChars="202" w:firstLine="143"/>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货物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服务</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“书面形式”包括信函、传真等。</w:t>
      </w:r>
    </w:p>
    <w:p>
      <w:pPr>
        <w:snapToGrid w:val="0"/>
        <w:spacing w:line="360" w:lineRule="auto"/>
        <w:ind w:firstLine="566" w:firstLineChars="236"/>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7、</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Cs/>
          <w:color w:val="auto"/>
          <w:sz w:val="24"/>
          <w:highlight w:val="none"/>
        </w:rPr>
        <w:t>▲”</w:t>
      </w:r>
      <w:r>
        <w:rPr>
          <w:rFonts w:asciiTheme="minorEastAsia" w:hAnsiTheme="minorEastAsia" w:eastAsiaTheme="minorEastAsia"/>
          <w:color w:val="auto"/>
          <w:sz w:val="24"/>
          <w:highlight w:val="none"/>
        </w:rPr>
        <w:t>系指实质性要求条款。</w:t>
      </w:r>
    </w:p>
    <w:p>
      <w:pPr>
        <w:snapToGrid w:val="0"/>
        <w:spacing w:before="156" w:beforeLines="50" w:line="360" w:lineRule="auto"/>
        <w:ind w:firstLine="472" w:firstLineChars="196"/>
        <w:jc w:val="left"/>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（三）投标费用</w:t>
      </w:r>
    </w:p>
    <w:p>
      <w:pPr>
        <w:snapToGrid w:val="0"/>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不论投标结果如何，投标人均应自行承担所有与投标有关的全部费用（招标文件有相关规定除外）。</w:t>
      </w:r>
    </w:p>
    <w:p>
      <w:pPr>
        <w:pStyle w:val="13"/>
        <w:snapToGrid w:val="0"/>
        <w:spacing w:line="360" w:lineRule="auto"/>
        <w:ind w:left="2" w:leftChars="1" w:firstLine="482" w:firstLineChars="200"/>
        <w:rPr>
          <w:rFonts w:hAnsi="宋体"/>
          <w:b/>
          <w:color w:val="auto"/>
          <w:sz w:val="24"/>
          <w:highlight w:val="none"/>
        </w:rPr>
      </w:pPr>
      <w:r>
        <w:rPr>
          <w:rFonts w:hint="eastAsia" w:hAnsi="宋体"/>
          <w:b/>
          <w:color w:val="auto"/>
          <w:sz w:val="24"/>
          <w:highlight w:val="none"/>
        </w:rPr>
        <w:t>（四）特别说明</w:t>
      </w:r>
    </w:p>
    <w:p>
      <w:pPr>
        <w:pStyle w:val="13"/>
        <w:snapToGrid w:val="0"/>
        <w:spacing w:line="360" w:lineRule="auto"/>
        <w:ind w:left="2" w:leftChars="1"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auto"/>
          <w:sz w:val="24"/>
          <w:highlight w:val="none"/>
        </w:rPr>
        <w:t>指</w:t>
      </w:r>
      <w:r>
        <w:rPr>
          <w:rFonts w:asciiTheme="minorEastAsia" w:hAnsiTheme="minorEastAsia" w:eastAsiaTheme="minorEastAsia"/>
          <w:color w:val="auto"/>
          <w:sz w:val="24"/>
          <w:highlight w:val="none"/>
        </w:rPr>
        <w:t>本法人或控股公司正式员工）。</w:t>
      </w:r>
    </w:p>
    <w:p>
      <w:pPr>
        <w:spacing w:line="360" w:lineRule="auto"/>
        <w:ind w:firstLine="480" w:firstLineChars="200"/>
        <w:rPr>
          <w:rFonts w:asciiTheme="minorEastAsia" w:hAnsiTheme="minorEastAsia" w:eastAsiaTheme="minorEastAsia" w:cstheme="minorBidi"/>
          <w:color w:val="auto"/>
          <w:sz w:val="24"/>
          <w:highlight w:val="none"/>
        </w:rPr>
      </w:pPr>
      <w:r>
        <w:rPr>
          <w:rFonts w:hint="eastAsia" w:asciiTheme="minorEastAsia" w:hAnsiTheme="minorEastAsia" w:eastAsiaTheme="minorEastAsia" w:cstheme="minorBidi"/>
          <w:color w:val="auto"/>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auto"/>
          <w:sz w:val="24"/>
          <w:highlight w:val="none"/>
        </w:rPr>
        <w:tab/>
      </w:r>
    </w:p>
    <w:p>
      <w:pPr>
        <w:pStyle w:val="37"/>
        <w:snapToGrid w:val="0"/>
        <w:spacing w:line="360" w:lineRule="auto"/>
        <w:ind w:firstLineChars="0"/>
        <w:rPr>
          <w:rFonts w:asciiTheme="minorEastAsia" w:hAnsiTheme="minorEastAsia" w:eastAsiaTheme="minorEastAsia" w:cstheme="minorBidi"/>
          <w:color w:val="auto"/>
          <w:sz w:val="24"/>
          <w:szCs w:val="24"/>
          <w:highlight w:val="none"/>
        </w:rPr>
      </w:pPr>
      <w:r>
        <w:rPr>
          <w:rFonts w:hint="eastAsia" w:asciiTheme="minorEastAsia" w:hAnsiTheme="minorEastAsia" w:eastAsiaTheme="minorEastAsia" w:cstheme="minorBidi"/>
          <w:color w:val="auto"/>
          <w:sz w:val="24"/>
          <w:szCs w:val="24"/>
          <w:highlight w:val="none"/>
        </w:rPr>
        <w:t>3、</w:t>
      </w:r>
      <w:r>
        <w:rPr>
          <w:rFonts w:asciiTheme="minorEastAsia" w:hAnsiTheme="minorEastAsia" w:eastAsiaTheme="minorEastAsia" w:cstheme="minorBidi"/>
          <w:color w:val="auto"/>
          <w:sz w:val="24"/>
          <w:szCs w:val="24"/>
          <w:highlight w:val="none"/>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auto"/>
          <w:sz w:val="24"/>
          <w:szCs w:val="24"/>
          <w:highlight w:val="none"/>
        </w:rPr>
        <w:t>，</w:t>
      </w:r>
      <w:r>
        <w:rPr>
          <w:rFonts w:asciiTheme="minorEastAsia" w:hAnsiTheme="minorEastAsia" w:eastAsiaTheme="minorEastAsia" w:cstheme="minorBidi"/>
          <w:color w:val="auto"/>
          <w:sz w:val="24"/>
          <w:szCs w:val="24"/>
          <w:highlight w:val="none"/>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auto"/>
          <w:sz w:val="24"/>
          <w:szCs w:val="24"/>
          <w:highlight w:val="none"/>
        </w:rPr>
        <w:t>。</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5、为采购项目提供整体设计、规范编制或者项目管理、监理、检测等服务的供应商，不得再参加该采购项目的其他采购活动。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6、投标文件格式中的表格式样可以根据项目差别做适当调整,但应当保持表格样式基本形态不变。</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7、单位负责人为同一人或者存在直接控股、管理关系的不同供应商，不得参加同一合同项下的政府采购活动。</w:t>
      </w:r>
    </w:p>
    <w:p>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color w:val="auto"/>
          <w:sz w:val="24"/>
          <w:szCs w:val="24"/>
          <w:highlight w:val="none"/>
        </w:rPr>
      </w:pPr>
      <w:r>
        <w:rPr>
          <w:rFonts w:hint="eastAsia" w:asciiTheme="minorEastAsia" w:hAnsiTheme="minorEastAsia" w:eastAsiaTheme="minorEastAsia"/>
          <w:b w:val="0"/>
          <w:bCs w:val="0"/>
          <w:color w:val="auto"/>
          <w:sz w:val="24"/>
          <w:szCs w:val="24"/>
          <w:highlight w:val="none"/>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二、招标文件</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w:t>
      </w:r>
      <w:r>
        <w:rPr>
          <w:rFonts w:asciiTheme="minorEastAsia" w:hAnsiTheme="minorEastAsia" w:eastAsiaTheme="minorEastAsia"/>
          <w:color w:val="auto"/>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auto"/>
          <w:kern w:val="0"/>
          <w:sz w:val="24"/>
          <w:highlight w:val="none"/>
        </w:rPr>
        <w:t>。</w:t>
      </w:r>
    </w:p>
    <w:p>
      <w:pPr>
        <w:tabs>
          <w:tab w:val="left" w:pos="141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 xml:space="preserve"> 三、投标文件</w:t>
      </w:r>
    </w:p>
    <w:p>
      <w:pPr>
        <w:autoSpaceDE w:val="0"/>
        <w:autoSpaceDN w:val="0"/>
        <w:adjustRightInd w:val="0"/>
        <w:spacing w:line="360" w:lineRule="auto"/>
        <w:ind w:firstLine="482" w:firstLineChars="200"/>
        <w:rPr>
          <w:rFonts w:asciiTheme="minorEastAsia" w:hAnsiTheme="minorEastAsia" w:eastAsiaTheme="minorEastAsia"/>
          <w:b/>
          <w:bCs/>
          <w:color w:val="auto"/>
          <w:kern w:val="0"/>
          <w:sz w:val="24"/>
          <w:highlight w:val="none"/>
        </w:rPr>
      </w:pPr>
      <w:r>
        <w:rPr>
          <w:rFonts w:hint="eastAsia" w:ascii="宋体"/>
          <w:b/>
          <w:color w:val="auto"/>
          <w:sz w:val="24"/>
          <w:highlight w:val="none"/>
          <w:lang w:val="zh-CN"/>
        </w:rPr>
        <w:t>（一）</w:t>
      </w:r>
      <w:r>
        <w:rPr>
          <w:rFonts w:hint="eastAsia" w:asciiTheme="minorEastAsia" w:hAnsiTheme="minorEastAsia" w:eastAsiaTheme="minorEastAsia"/>
          <w:b/>
          <w:bCs/>
          <w:color w:val="auto"/>
          <w:kern w:val="0"/>
          <w:sz w:val="24"/>
          <w:highlight w:val="none"/>
        </w:rPr>
        <w:t>投标文件的组成</w:t>
      </w:r>
    </w:p>
    <w:p>
      <w:pPr>
        <w:snapToGrid w:val="0"/>
        <w:spacing w:line="360" w:lineRule="auto"/>
        <w:ind w:firstLine="480" w:firstLineChars="200"/>
        <w:rPr>
          <w:rFonts w:ascii="仿宋_GB2312" w:hAnsi="仿宋_GB2312" w:eastAsia="仿宋_GB2312" w:cs="仿宋_GB2312"/>
          <w:color w:val="auto"/>
          <w:sz w:val="24"/>
          <w:highlight w:val="none"/>
          <w:lang w:val="zh-CN"/>
        </w:rPr>
      </w:pPr>
      <w:r>
        <w:rPr>
          <w:rFonts w:hint="eastAsia" w:asciiTheme="minorEastAsia" w:hAnsiTheme="minorEastAsia" w:eastAsiaTheme="minorEastAsia"/>
          <w:color w:val="auto"/>
          <w:kern w:val="0"/>
          <w:sz w:val="24"/>
          <w:highlight w:val="none"/>
        </w:rPr>
        <w:t>投标文件由“资格证明文件”、“商务与技术文件”、“报价文件”三部分组成。</w:t>
      </w:r>
    </w:p>
    <w:p>
      <w:pPr>
        <w:snapToGrid w:val="0"/>
        <w:spacing w:line="360" w:lineRule="auto"/>
        <w:ind w:firstLine="482" w:firstLineChars="200"/>
        <w:rPr>
          <w:rFonts w:asciiTheme="minorEastAsia" w:hAnsiTheme="minorEastAsia" w:eastAsiaTheme="minorEastAsia"/>
          <w:color w:val="auto"/>
          <w:kern w:val="0"/>
          <w:sz w:val="24"/>
          <w:highlight w:val="none"/>
        </w:rPr>
      </w:pPr>
      <w:r>
        <w:rPr>
          <w:rFonts w:hint="eastAsia" w:ascii="宋体" w:hAnsi="宋体" w:cs="宋体"/>
          <w:b/>
          <w:color w:val="auto"/>
          <w:sz w:val="24"/>
          <w:highlight w:val="none"/>
        </w:rPr>
        <w:t>▲</w:t>
      </w:r>
      <w:r>
        <w:rPr>
          <w:rFonts w:hint="eastAsia" w:asciiTheme="minorEastAsia" w:hAnsiTheme="minorEastAsia" w:eastAsiaTheme="minorEastAsia"/>
          <w:b/>
          <w:color w:val="auto"/>
          <w:sz w:val="24"/>
          <w:highlight w:val="none"/>
        </w:rPr>
        <w:t>1、资格证明</w:t>
      </w:r>
      <w:r>
        <w:rPr>
          <w:rFonts w:asciiTheme="minorEastAsia" w:hAnsiTheme="minorEastAsia" w:eastAsiaTheme="minorEastAsia"/>
          <w:b/>
          <w:color w:val="auto"/>
          <w:sz w:val="24"/>
          <w:highlight w:val="none"/>
        </w:rPr>
        <w:t>文件</w:t>
      </w:r>
      <w:r>
        <w:rPr>
          <w:rFonts w:hint="eastAsia" w:ascii="宋体" w:hAnsi="宋体"/>
          <w:b/>
          <w:color w:val="auto"/>
          <w:sz w:val="24"/>
          <w:highlight w:val="none"/>
        </w:rPr>
        <w:t>的组成：</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具备履行合同所必需的设备和专业技术能力的证明材料(根据项目性质提供)；</w:t>
      </w:r>
    </w:p>
    <w:p>
      <w:pPr>
        <w:widowControl/>
        <w:numPr>
          <w:ilvl w:val="0"/>
          <w:numId w:val="5"/>
        </w:numPr>
        <w:spacing w:line="360"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提供采购公告中符合供应商特定条件的有效相关证书复印件（投标供应商特定条件中有要求的必须提供）（若有），以及评标时需要说明的其他资料。</w:t>
      </w:r>
    </w:p>
    <w:p>
      <w:pPr>
        <w:snapToGrid w:val="0"/>
        <w:spacing w:line="360" w:lineRule="auto"/>
        <w:ind w:firstLine="482" w:firstLineChars="200"/>
        <w:rPr>
          <w:rFonts w:ascii="宋体" w:hAnsi="宋体" w:cs="宋体"/>
          <w:color w:val="auto"/>
          <w:sz w:val="24"/>
          <w:highlight w:val="none"/>
          <w:u w:val="single"/>
        </w:rPr>
      </w:pPr>
      <w:r>
        <w:rPr>
          <w:rFonts w:hint="eastAsia" w:asciiTheme="minorEastAsia" w:hAnsiTheme="minorEastAsia" w:eastAsiaTheme="minorEastAsia"/>
          <w:b/>
          <w:color w:val="auto"/>
          <w:sz w:val="24"/>
          <w:highlight w:val="none"/>
        </w:rPr>
        <w:t>2、</w:t>
      </w:r>
      <w:r>
        <w:rPr>
          <w:rFonts w:hint="eastAsia" w:ascii="宋体" w:hAnsi="宋体"/>
          <w:b/>
          <w:color w:val="auto"/>
          <w:sz w:val="24"/>
          <w:highlight w:val="none"/>
        </w:rPr>
        <w:t>商务与技术文件的组成：</w:t>
      </w:r>
    </w:p>
    <w:p>
      <w:pPr>
        <w:pStyle w:val="7"/>
        <w:widowControl/>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w:t>
      </w:r>
      <w:r>
        <w:rPr>
          <w:rFonts w:hint="eastAsia" w:ascii="宋体"/>
          <w:color w:val="auto"/>
          <w:sz w:val="24"/>
          <w:highlight w:val="none"/>
          <w:lang w:val="zh-CN"/>
        </w:rPr>
        <w:t>商务与技术评分细则要求制作。</w:t>
      </w:r>
    </w:p>
    <w:p>
      <w:pPr>
        <w:autoSpaceDE w:val="0"/>
        <w:autoSpaceDN w:val="0"/>
        <w:adjustRightInd w:val="0"/>
        <w:spacing w:line="360" w:lineRule="auto"/>
        <w:ind w:left="426" w:firstLine="65" w:firstLineChars="27"/>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3、报价文件的组成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（1）报价文件由开标一览表、报价明细表、小微企业等声明函（若有）、产品适用政府采购政策情况表（若有）以及投标人认为其他需要说明的内容组成。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（2）此报价为投标人一次性报出唯一的最终价格，包含其它一切所要涉及到的费用，有选择的报价将被拒绝。</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3</w:t>
      </w:r>
      <w:r>
        <w:rPr>
          <w:rFonts w:hint="eastAsia" w:asciiTheme="minorEastAsia" w:hAnsiTheme="minorEastAsia" w:eastAsiaTheme="minorEastAsia"/>
          <w:color w:val="auto"/>
          <w:kern w:val="0"/>
          <w:sz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kern w:val="0"/>
          <w:sz w:val="24"/>
          <w:highlight w:val="none"/>
          <w:lang w:val="zh-CN"/>
        </w:rPr>
        <w:t>）</w:t>
      </w:r>
      <w:r>
        <w:rPr>
          <w:rFonts w:hint="eastAsia" w:asciiTheme="minorEastAsia" w:hAnsiTheme="minorEastAsia" w:eastAsiaTheme="minorEastAsia"/>
          <w:color w:val="auto"/>
          <w:kern w:val="0"/>
          <w:sz w:val="24"/>
          <w:highlight w:val="none"/>
        </w:rPr>
        <w:t>政府采购优惠政策相关资料、产品适用政府采购政策情况表（如有）。</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（5）相关报价单需打印或用不退色的墨水填写，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（6）投标报价应按招标文件中相关附表格式填写。</w:t>
      </w:r>
    </w:p>
    <w:p>
      <w:pPr>
        <w:numPr>
          <w:ilvl w:val="0"/>
          <w:numId w:val="6"/>
        </w:numPr>
        <w:spacing w:line="360" w:lineRule="auto"/>
        <w:rPr>
          <w:rFonts w:asciiTheme="minorEastAsia" w:hAnsiTheme="minorEastAsia" w:eastAsiaTheme="minorEastAsia"/>
          <w:b/>
          <w:bCs/>
          <w:color w:val="auto"/>
          <w:kern w:val="0"/>
          <w:sz w:val="24"/>
          <w:highlight w:val="none"/>
        </w:rPr>
      </w:pPr>
      <w:r>
        <w:rPr>
          <w:rFonts w:hint="eastAsia" w:asciiTheme="minorEastAsia" w:hAnsiTheme="minorEastAsia" w:eastAsiaTheme="minorEastAsia"/>
          <w:b/>
          <w:bCs/>
          <w:color w:val="auto"/>
          <w:kern w:val="0"/>
          <w:sz w:val="24"/>
          <w:highlight w:val="none"/>
        </w:rPr>
        <w:t>投标文件的</w:t>
      </w:r>
      <w:r>
        <w:rPr>
          <w:rFonts w:hint="eastAsia" w:asciiTheme="minorEastAsia" w:hAnsiTheme="minorEastAsia"/>
          <w:b/>
          <w:bCs/>
          <w:color w:val="auto"/>
          <w:kern w:val="0"/>
          <w:sz w:val="24"/>
          <w:highlight w:val="none"/>
        </w:rPr>
        <w:t>制作、封装及</w:t>
      </w:r>
      <w:r>
        <w:rPr>
          <w:rFonts w:hint="eastAsia" w:asciiTheme="minorEastAsia" w:hAnsiTheme="minorEastAsia" w:eastAsiaTheme="minorEastAsia"/>
          <w:b/>
          <w:bCs/>
          <w:color w:val="auto"/>
          <w:kern w:val="0"/>
          <w:sz w:val="24"/>
          <w:highlight w:val="none"/>
        </w:rPr>
        <w:t>递交要求</w:t>
      </w:r>
    </w:p>
    <w:p>
      <w:pPr>
        <w:autoSpaceDE w:val="0"/>
        <w:autoSpaceDN w:val="0"/>
        <w:adjustRightInd w:val="0"/>
        <w:spacing w:line="360" w:lineRule="auto"/>
        <w:ind w:firstLine="480"/>
        <w:rPr>
          <w:rFonts w:asciiTheme="minorEastAsia" w:hAnsiTheme="minorEastAsia" w:eastAsiaTheme="minorEastAsia"/>
          <w:b/>
          <w:bCs/>
          <w:color w:val="auto"/>
          <w:sz w:val="24"/>
          <w:highlight w:val="none"/>
        </w:rPr>
      </w:pPr>
      <w:r>
        <w:rPr>
          <w:rFonts w:hint="eastAsia" w:asciiTheme="minorEastAsia" w:hAnsiTheme="minorEastAsia"/>
          <w:b/>
          <w:bCs/>
          <w:color w:val="auto"/>
          <w:sz w:val="24"/>
          <w:highlight w:val="none"/>
        </w:rPr>
        <w:t>1、投标文件的制作要求</w:t>
      </w:r>
    </w:p>
    <w:p>
      <w:pPr>
        <w:autoSpaceDE w:val="0"/>
        <w:autoSpaceDN w:val="0"/>
        <w:adjustRightIn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color w:val="auto"/>
          <w:sz w:val="24"/>
          <w:highlight w:val="none"/>
        </w:rPr>
        <w:t>（1）本项目通过“政府采购云平台（www.zcygov.cn）”实行在线投标响应（电子招投标），供应商应先安装“政采云电子交易客户端”，并按照本项目招标文件和“政府采购云平台”的要求编制、加密并递交投标文件。</w:t>
      </w:r>
    </w:p>
    <w:p>
      <w:pPr>
        <w:autoSpaceDE w:val="0"/>
        <w:autoSpaceDN w:val="0"/>
        <w:adjustRightInd w:val="0"/>
        <w:spacing w:line="360" w:lineRule="auto"/>
        <w:ind w:firstLine="480"/>
        <w:rPr>
          <w:rFonts w:asciiTheme="minorEastAsia" w:hAnsiTheme="minorEastAsia" w:eastAsiaTheme="minorEastAsia"/>
          <w:color w:val="auto"/>
          <w:sz w:val="24"/>
          <w:highlight w:val="none"/>
        </w:rPr>
      </w:pPr>
      <w:r>
        <w:rPr>
          <w:rFonts w:hint="eastAsia" w:ascii="宋体" w:hAnsi="宋体"/>
          <w:color w:val="auto"/>
          <w:sz w:val="24"/>
          <w:highlight w:val="none"/>
        </w:rPr>
        <w:t>（2）</w:t>
      </w:r>
      <w:r>
        <w:rPr>
          <w:rFonts w:hint="eastAsia" w:asciiTheme="minorEastAsia" w:hAnsiTheme="minorEastAsia"/>
          <w:color w:val="auto"/>
          <w:sz w:val="24"/>
          <w:highlight w:val="none"/>
        </w:rPr>
        <w:t>投标人</w:t>
      </w:r>
      <w:r>
        <w:rPr>
          <w:rFonts w:hint="eastAsia" w:ascii="宋体" w:hAnsi="宋体"/>
          <w:color w:val="auto"/>
          <w:sz w:val="24"/>
          <w:highlight w:val="none"/>
        </w:rPr>
        <w:t>应当按照“投标文件的组成”规定的内容及顺序在“政采云电子交易客户端”编制投标文件。其中“资格证明文件”和“商务与技术文件”中不得出现投标报价，如因投标人原因提前泄露投标报价的，</w:t>
      </w:r>
      <w:r>
        <w:rPr>
          <w:rFonts w:hint="eastAsia" w:asciiTheme="minorEastAsia" w:hAnsiTheme="minorEastAsia" w:eastAsiaTheme="minorEastAsia"/>
          <w:color w:val="auto"/>
          <w:sz w:val="24"/>
          <w:highlight w:val="none"/>
        </w:rPr>
        <w:t>责任</w:t>
      </w:r>
      <w:r>
        <w:rPr>
          <w:rFonts w:asciiTheme="minorEastAsia" w:hAnsiTheme="minorEastAsia" w:eastAsiaTheme="minorEastAsia"/>
          <w:color w:val="auto"/>
          <w:sz w:val="24"/>
          <w:highlight w:val="none"/>
        </w:rPr>
        <w:t>由投标人承担。</w:t>
      </w:r>
    </w:p>
    <w:p>
      <w:pPr>
        <w:autoSpaceDE w:val="0"/>
        <w:autoSpaceDN w:val="0"/>
        <w:adjustRightInd w:val="0"/>
        <w:spacing w:line="360" w:lineRule="auto"/>
        <w:ind w:firstLine="480"/>
        <w:rPr>
          <w:color w:val="auto"/>
          <w:highlight w:val="none"/>
        </w:rPr>
      </w:pPr>
      <w:r>
        <w:rPr>
          <w:rFonts w:hint="eastAsia" w:asciiTheme="minorEastAsia" w:hAnsiTheme="minorEastAsia"/>
          <w:color w:val="auto"/>
          <w:kern w:val="0"/>
          <w:sz w:val="24"/>
          <w:highlight w:val="none"/>
        </w:rPr>
        <w:t>（3）招标文件中有提供格式的，投标人应参照格式进行编制</w:t>
      </w:r>
      <w:r>
        <w:rPr>
          <w:rFonts w:hint="eastAsia" w:asciiTheme="minorEastAsia" w:hAnsiTheme="minorEastAsia"/>
          <w:b/>
          <w:bCs/>
          <w:color w:val="auto"/>
          <w:kern w:val="0"/>
          <w:sz w:val="24"/>
          <w:highlight w:val="none"/>
        </w:rPr>
        <w:t>（格式中要求提供相关证明材料的应后附相关证明材料）</w:t>
      </w:r>
      <w:r>
        <w:rPr>
          <w:rFonts w:hint="eastAsia" w:asciiTheme="minorEastAsia" w:hAnsiTheme="minorEastAsia"/>
          <w:color w:val="auto"/>
          <w:kern w:val="0"/>
          <w:sz w:val="24"/>
          <w:highlight w:val="none"/>
        </w:rPr>
        <w:t>，并按要求在指定位置进行签章，否则视为未提供；招标文件中未提供格式的，请各投标人自行拟定格式，加盖单位公章并由法定代表人或其授权代表签署（签字或盖章），否则视为未提供</w:t>
      </w:r>
      <w:r>
        <w:rPr>
          <w:rFonts w:hint="eastAsia" w:asciiTheme="minorEastAsia" w:hAnsiTheme="minorEastAsia" w:eastAsiaTheme="minorEastAsia"/>
          <w:color w:val="auto"/>
          <w:sz w:val="24"/>
          <w:highlight w:val="none"/>
        </w:rPr>
        <w:t>。</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4</w:t>
      </w: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投标文件内容不完整、编排混乱导致投标文件被误读、漏读或者查找不到相关内容的，是投标人的责任。</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（5）投标文件因字迹潦草或表达不清所引起的后果由投标人负责。</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（6）投标人未按照“投标文件组成”要求提供全部资料，或者没有仔细阅读招标文件，或者没有对招标文件在各方面的要求作出实质性响应，由此造成的一切后果由投标人自行承担。</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7</w:t>
      </w:r>
      <w:r>
        <w:rPr>
          <w:rFonts w:hint="eastAsia" w:asciiTheme="minorEastAsia" w:hAnsiTheme="minorEastAsia"/>
          <w:color w:val="auto"/>
          <w:sz w:val="24"/>
          <w:highlight w:val="none"/>
          <w:lang w:val="zh-CN"/>
        </w:rPr>
        <w:t>）</w:t>
      </w:r>
      <w:r>
        <w:rPr>
          <w:rFonts w:hint="eastAsia" w:asciiTheme="minorEastAsia" w:hAnsiTheme="minorEastAsia"/>
          <w:color w:val="auto"/>
          <w:sz w:val="24"/>
          <w:highlight w:val="none"/>
        </w:rPr>
        <w:t>投标文件以及投标人与采购组织机构就有关投标事宜的所有来往函电，均应以中文汉语书写。除签字、盖章、专用名称等特殊情形外，以中文汉语以外的文字表述的投标文件视同未提供。</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（8）投标计量单位，招标文件已有明确规定的，使用招标文件规定的计量单位；招标文件没有规定的，应采用中华人民共和国法定计量单位（货币单位：人民币元）。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2、投标文件的签章</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（1）投标文件的签章：见《前附表》；</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（2）投标文件应由投标供应商法定代表人或其授权代表签字（或盖章），并时加盖投标供应商公章。</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lang w:val="zh-CN"/>
        </w:rPr>
        <w:t>）</w:t>
      </w:r>
      <w:r>
        <w:rPr>
          <w:rFonts w:hint="eastAsia" w:asciiTheme="minorEastAsia" w:hAnsiTheme="minorEastAsia" w:eastAsiaTheme="minorEastAsia"/>
          <w:color w:val="auto"/>
          <w:sz w:val="24"/>
          <w:highlight w:val="none"/>
        </w:rPr>
        <w:t>电子签章操作指南详见《供应商项目采购-电子招投标操作指南》。</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3、投标文件的形式</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（1）投标文件的形式：见《前附表》；</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（2）“电子加密投标文件”是指通过“政采云电子交易客户端”完成投标文件编制后生成并加密的数据电文形式的投标文件。</w:t>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（3）“备份投标文件”是指与“电子加密投标文件”同时生成的数据电文形式的电子文件，其他方式编制的备份投标文件视为无效备份投标文件。</w:t>
      </w:r>
    </w:p>
    <w:p>
      <w:pPr>
        <w:autoSpaceDE w:val="0"/>
        <w:autoSpaceDN w:val="0"/>
        <w:adjustRightInd w:val="0"/>
        <w:spacing w:line="360" w:lineRule="auto"/>
        <w:ind w:firstLine="480"/>
        <w:rPr>
          <w:rFonts w:asciiTheme="minorEastAsia" w:hAnsiTheme="minorEastAsia"/>
          <w:b/>
          <w:bCs/>
          <w:color w:val="auto"/>
          <w:sz w:val="24"/>
          <w:highlight w:val="none"/>
        </w:rPr>
      </w:pPr>
      <w:r>
        <w:rPr>
          <w:rFonts w:hint="eastAsia" w:asciiTheme="minorEastAsia" w:hAnsiTheme="minorEastAsia"/>
          <w:b/>
          <w:bCs/>
          <w:color w:val="auto"/>
          <w:sz w:val="24"/>
          <w:highlight w:val="none"/>
        </w:rPr>
        <w:t>4、投标文件份数</w:t>
      </w:r>
      <w:r>
        <w:rPr>
          <w:rFonts w:hint="eastAsia" w:asciiTheme="minorEastAsia" w:hAnsiTheme="minorEastAsia"/>
          <w:b/>
          <w:bCs/>
          <w:color w:val="auto"/>
          <w:sz w:val="24"/>
          <w:highlight w:val="none"/>
        </w:rPr>
        <w:tab/>
      </w:r>
    </w:p>
    <w:p>
      <w:pPr>
        <w:autoSpaceDE w:val="0"/>
        <w:autoSpaceDN w:val="0"/>
        <w:adjustRightIn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（1）投标文件份数：详见《前附表》。</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（三）投标文件的有效期</w:t>
      </w:r>
    </w:p>
    <w:p>
      <w:pPr>
        <w:pStyle w:val="9"/>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自投标截止日起90天投标文件应保持有效。有效期不足的投标文件将被拒绝。</w:t>
      </w:r>
    </w:p>
    <w:p>
      <w:pPr>
        <w:pStyle w:val="9"/>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在特殊情况下，采购人可与投标人协商延长投标文件的有效期，这种要求和答复均以书面形式进行。</w:t>
      </w:r>
    </w:p>
    <w:p>
      <w:pPr>
        <w:pStyle w:val="9"/>
        <w:tabs>
          <w:tab w:val="left" w:pos="454"/>
          <w:tab w:val="left" w:pos="720"/>
          <w:tab w:val="left" w:pos="1200"/>
        </w:tabs>
        <w:snapToGrid w:val="0"/>
        <w:spacing w:line="360" w:lineRule="auto"/>
        <w:ind w:left="0" w:firstLine="480" w:firstLineChars="200"/>
        <w:rPr>
          <w:rFonts w:ascii="宋体" w:hAnsi="宋体"/>
          <w:color w:val="auto"/>
          <w:sz w:val="24"/>
          <w:highlight w:val="none"/>
          <w:lang w:val="en-GB"/>
        </w:rPr>
      </w:pPr>
      <w:r>
        <w:rPr>
          <w:rFonts w:hint="eastAsia" w:ascii="宋体" w:hAnsi="宋体"/>
          <w:color w:val="auto"/>
          <w:sz w:val="24"/>
          <w:highlight w:val="none"/>
          <w:lang w:val="en-GB"/>
        </w:rPr>
        <w:t>中标人的投标文件自开标之日起至合同履行完毕均应保持有效。</w:t>
      </w:r>
    </w:p>
    <w:p>
      <w:pPr>
        <w:tabs>
          <w:tab w:val="left" w:pos="1898"/>
        </w:tabs>
        <w:autoSpaceDE w:val="0"/>
        <w:autoSpaceDN w:val="0"/>
        <w:adjustRightInd w:val="0"/>
        <w:spacing w:line="360" w:lineRule="auto"/>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（四）投标</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1、投标文件的上传和递交：见《前附表》</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2、“电子加密投标文件”解密和异常情况处理：见《前附表》</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3、投标文件的补充、修改或撤回</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府采购云平台”将予以拒收。</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（2）投标截止时间后，投标供应商不得撤回、修改投标文件。</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4、投标文件的备选方案</w:t>
      </w:r>
    </w:p>
    <w:p>
      <w:pPr>
        <w:autoSpaceDE w:val="0"/>
        <w:autoSpaceDN w:val="0"/>
        <w:adjustRightInd w:val="0"/>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（1）投标供应商不得递交任何的投标备选（替代）方案，否则其投标文件将作无效标处理。与“电子加密投标文件”同时生成的“备份投标文件”不是投标备选（替代）方案。</w:t>
      </w:r>
    </w:p>
    <w:p>
      <w:pPr>
        <w:snapToGrid w:val="0"/>
        <w:spacing w:line="360" w:lineRule="auto"/>
        <w:jc w:val="left"/>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四、开标</w:t>
      </w:r>
    </w:p>
    <w:p>
      <w:pPr>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    （一）开标形式</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color w:val="auto"/>
          <w:kern w:val="0"/>
          <w:sz w:val="24"/>
          <w:highlight w:val="none"/>
        </w:rPr>
        <w:t>采购组织机构将按照“招标公告”规定的时间通过“政府采购云平台”组织开标活动、开启投标文件，所有供应商均应当准时在线参加。</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二</w:t>
      </w:r>
      <w:r>
        <w:rPr>
          <w:rFonts w:hint="eastAsia" w:asciiTheme="minorEastAsia" w:hAnsiTheme="minorEastAsia" w:eastAsiaTheme="minorEastAsia"/>
          <w:color w:val="auto"/>
          <w:kern w:val="0"/>
          <w:sz w:val="24"/>
          <w:highlight w:val="none"/>
        </w:rPr>
        <w:t>）开标准备：</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color w:val="auto"/>
          <w:sz w:val="24"/>
          <w:highlight w:val="none"/>
        </w:rPr>
        <w:t>1、</w:t>
      </w:r>
      <w:r>
        <w:rPr>
          <w:rFonts w:hint="eastAsia" w:asciiTheme="minorEastAsia" w:hAnsiTheme="minorEastAsia" w:eastAsiaTheme="minorEastAsia"/>
          <w:bCs/>
          <w:color w:val="auto"/>
          <w:sz w:val="24"/>
          <w:highlight w:val="none"/>
        </w:rPr>
        <w:t>开标的准备工作由采购组织机构负责落实；</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w:t>
      </w:r>
      <w:r>
        <w:rPr>
          <w:rFonts w:hint="eastAsia" w:asciiTheme="minorEastAsia" w:hAnsiTheme="minorEastAsia"/>
          <w:color w:val="auto"/>
          <w:sz w:val="24"/>
          <w:highlight w:val="none"/>
        </w:rPr>
        <w:t>、</w:t>
      </w:r>
      <w:r>
        <w:rPr>
          <w:rFonts w:hint="eastAsia" w:asciiTheme="minorEastAsia" w:hAnsiTheme="minorEastAsia" w:eastAsiaTheme="minorEastAsia"/>
          <w:bCs/>
          <w:color w:val="auto"/>
          <w:sz w:val="24"/>
          <w:highlight w:val="none"/>
        </w:rPr>
        <w:t>采购组织机构将按照招标文件规定的时间通过“政府采购云平台”组织开标活动、开启投标文件，所有供应商均应当准时在线参加。投标人</w:t>
      </w:r>
      <w:r>
        <w:rPr>
          <w:rFonts w:asciiTheme="minorEastAsia" w:hAnsiTheme="minorEastAsia" w:eastAsiaTheme="minorEastAsia"/>
          <w:bCs/>
          <w:color w:val="auto"/>
          <w:sz w:val="24"/>
          <w:highlight w:val="none"/>
        </w:rPr>
        <w:t>如不</w:t>
      </w:r>
      <w:r>
        <w:rPr>
          <w:rFonts w:hint="eastAsia" w:asciiTheme="minorEastAsia" w:hAnsiTheme="minorEastAsia" w:eastAsiaTheme="minorEastAsia"/>
          <w:bCs/>
          <w:color w:val="auto"/>
          <w:sz w:val="24"/>
          <w:highlight w:val="none"/>
        </w:rPr>
        <w:t>参加</w:t>
      </w:r>
      <w:r>
        <w:rPr>
          <w:rFonts w:asciiTheme="minorEastAsia" w:hAnsiTheme="minorEastAsia" w:eastAsiaTheme="minorEastAsia"/>
          <w:bCs/>
          <w:color w:val="auto"/>
          <w:sz w:val="24"/>
          <w:highlight w:val="none"/>
        </w:rPr>
        <w:t>开标大会的，</w:t>
      </w:r>
      <w:r>
        <w:rPr>
          <w:rFonts w:hint="eastAsia" w:asciiTheme="minorEastAsia" w:hAnsiTheme="minorEastAsia" w:eastAsiaTheme="minorEastAsia"/>
          <w:bCs/>
          <w:color w:val="auto"/>
          <w:sz w:val="24"/>
          <w:highlight w:val="none"/>
        </w:rPr>
        <w:t>视同认可开标结果，</w:t>
      </w:r>
      <w:r>
        <w:rPr>
          <w:rFonts w:asciiTheme="minorEastAsia" w:hAnsiTheme="minorEastAsia" w:eastAsiaTheme="minorEastAsia"/>
          <w:bCs/>
          <w:color w:val="auto"/>
          <w:sz w:val="24"/>
          <w:highlight w:val="none"/>
        </w:rPr>
        <w:t>事后不得对采购相关人员、开标过程和开标结果提出异议</w:t>
      </w:r>
      <w:r>
        <w:rPr>
          <w:rFonts w:hint="eastAsia" w:asciiTheme="minorEastAsia" w:hAnsiTheme="minorEastAsia" w:eastAsiaTheme="minorEastAsia"/>
          <w:bCs/>
          <w:color w:val="auto"/>
          <w:sz w:val="24"/>
          <w:highlight w:val="none"/>
        </w:rPr>
        <w:t>，同时投标人因未在线参加开标而导致投标文件无法按时解密等一切后果由投标人自己承担。</w:t>
      </w:r>
    </w:p>
    <w:p>
      <w:pPr>
        <w:autoSpaceDE w:val="0"/>
        <w:autoSpaceDN w:val="0"/>
        <w:adjustRightInd w:val="0"/>
        <w:spacing w:line="360" w:lineRule="auto"/>
        <w:ind w:firstLine="480" w:firstLineChars="200"/>
        <w:rPr>
          <w:rFonts w:asciiTheme="minorEastAsia" w:hAnsiTheme="minorEastAsia" w:eastAsiaTheme="minorEastAsia"/>
          <w:bCs/>
          <w:color w:val="auto"/>
          <w:sz w:val="24"/>
          <w:highlight w:val="none"/>
        </w:rPr>
      </w:pPr>
      <w:r>
        <w:rPr>
          <w:rFonts w:asciiTheme="minorEastAsia" w:hAnsiTheme="minorEastAsia" w:eastAsiaTheme="minorEastAsia"/>
          <w:bCs/>
          <w:color w:val="auto"/>
          <w:sz w:val="24"/>
          <w:highlight w:val="none"/>
        </w:rPr>
        <w:t>（</w:t>
      </w:r>
      <w:r>
        <w:rPr>
          <w:rFonts w:hint="eastAsia" w:asciiTheme="minorEastAsia" w:hAnsiTheme="minorEastAsia" w:eastAsiaTheme="minorEastAsia"/>
          <w:bCs/>
          <w:color w:val="auto"/>
          <w:sz w:val="24"/>
          <w:highlight w:val="none"/>
        </w:rPr>
        <w:t>三</w:t>
      </w:r>
      <w:r>
        <w:rPr>
          <w:rFonts w:asciiTheme="minorEastAsia" w:hAnsiTheme="minorEastAsia" w:eastAsiaTheme="minorEastAsia"/>
          <w:bCs/>
          <w:color w:val="auto"/>
          <w:sz w:val="24"/>
          <w:highlight w:val="none"/>
        </w:rPr>
        <w:t>）开</w:t>
      </w:r>
      <w:r>
        <w:rPr>
          <w:rFonts w:hint="eastAsia" w:asciiTheme="minorEastAsia" w:hAnsiTheme="minorEastAsia" w:eastAsiaTheme="minorEastAsia"/>
          <w:bCs/>
          <w:color w:val="auto"/>
          <w:sz w:val="24"/>
          <w:highlight w:val="none"/>
        </w:rPr>
        <w:t>标</w:t>
      </w:r>
      <w:r>
        <w:rPr>
          <w:rFonts w:asciiTheme="minorEastAsia" w:hAnsiTheme="minorEastAsia" w:eastAsiaTheme="minorEastAsia"/>
          <w:bCs/>
          <w:color w:val="auto"/>
          <w:sz w:val="24"/>
          <w:highlight w:val="none"/>
        </w:rPr>
        <w:t>程序：</w:t>
      </w:r>
    </w:p>
    <w:p>
      <w:pPr>
        <w:pStyle w:val="13"/>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开标第一阶段</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2、投标文件解密结束，通过邮件形式发送各投标人组织签署《政府采购活动现场确认声明书》；</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3、开启投标文件，进入资格审查；</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4、开启资格审查通过的投标人的商务技术文件进入符合性审查、商务技术评审；</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5、第一阶段开标结束。</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备注：开标大会的第一阶段结束后，采购人或采购代理机构将对依法对投标人的资格进行审查，资格审查结束后进入符合性审查和商务技术的评审工作。</w:t>
      </w:r>
    </w:p>
    <w:p>
      <w:pPr>
        <w:pStyle w:val="13"/>
        <w:snapToGrid w:val="0"/>
        <w:spacing w:line="360" w:lineRule="auto"/>
        <w:ind w:firstLine="482" w:firstLineChars="200"/>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开标大会第二阶段</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1、符合性审查、商务技术评审结束后，举行开标大会第二阶段会议。首先通过发送邮件形式公布符合性审查、商务技术评审无效供应商名称及理由</w:t>
      </w:r>
      <w:r>
        <w:rPr>
          <w:rFonts w:asciiTheme="minorEastAsia" w:hAnsiTheme="minorEastAsia" w:eastAsiaTheme="minorEastAsia"/>
          <w:color w:val="auto"/>
          <w:sz w:val="24"/>
          <w:highlight w:val="none"/>
        </w:rPr>
        <w:t>；公布经商务技术评审</w:t>
      </w:r>
      <w:r>
        <w:rPr>
          <w:rFonts w:hint="eastAsia" w:asciiTheme="minorEastAsia" w:hAnsiTheme="minorEastAsia" w:eastAsiaTheme="minorEastAsia"/>
          <w:color w:val="auto"/>
          <w:sz w:val="24"/>
          <w:highlight w:val="none"/>
        </w:rPr>
        <w:t>后有效投标</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名单，同时公布</w:t>
      </w:r>
      <w:r>
        <w:rPr>
          <w:rFonts w:hint="eastAsia" w:asciiTheme="minorEastAsia" w:hAnsiTheme="minorEastAsia" w:eastAsiaTheme="minorEastAsia"/>
          <w:color w:val="auto"/>
          <w:sz w:val="24"/>
          <w:highlight w:val="none"/>
        </w:rPr>
        <w:t>其</w:t>
      </w:r>
      <w:r>
        <w:rPr>
          <w:rFonts w:asciiTheme="minorEastAsia" w:hAnsiTheme="minorEastAsia" w:eastAsiaTheme="minorEastAsia"/>
          <w:color w:val="auto"/>
          <w:sz w:val="24"/>
          <w:highlight w:val="none"/>
        </w:rPr>
        <w:t>商务技术</w:t>
      </w:r>
      <w:r>
        <w:rPr>
          <w:rFonts w:hint="eastAsia" w:asciiTheme="minorEastAsia" w:hAnsiTheme="minorEastAsia" w:eastAsiaTheme="minorEastAsia"/>
          <w:color w:val="auto"/>
          <w:sz w:val="24"/>
          <w:highlight w:val="none"/>
        </w:rPr>
        <w:t>部分</w:t>
      </w:r>
      <w:r>
        <w:rPr>
          <w:rFonts w:asciiTheme="minorEastAsia" w:hAnsiTheme="minorEastAsia" w:eastAsiaTheme="minorEastAsia"/>
          <w:color w:val="auto"/>
          <w:sz w:val="24"/>
          <w:highlight w:val="none"/>
        </w:rPr>
        <w:t>得分情况</w:t>
      </w:r>
      <w:r>
        <w:rPr>
          <w:rFonts w:hint="eastAsia" w:asciiTheme="minorEastAsia" w:hAnsiTheme="minorEastAsia" w:eastAsiaTheme="minorEastAsia"/>
          <w:color w:val="auto"/>
          <w:sz w:val="24"/>
          <w:highlight w:val="none"/>
        </w:rPr>
        <w:t>。</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2、开启符合性审查、商务技术评审有效投标供应商的报价文件，通过发送邮件形式公布开标一览表有关内容，同时当场制作开标记录表，投标人通过发送邮件形式</w:t>
      </w:r>
      <w:r>
        <w:rPr>
          <w:rFonts w:asciiTheme="minorEastAsia" w:hAnsiTheme="minorEastAsia" w:eastAsiaTheme="minorEastAsia"/>
          <w:color w:val="auto"/>
          <w:sz w:val="24"/>
          <w:highlight w:val="none"/>
        </w:rPr>
        <w:t>签字确认（不予确认的应说明理由，否则视为无异议）。唱标结束后，由评标委员会对报价的合理性、准确性等进行审查核实</w:t>
      </w:r>
      <w:r>
        <w:rPr>
          <w:rFonts w:hint="eastAsia" w:asciiTheme="minorEastAsia" w:hAnsiTheme="minorEastAsia" w:eastAsiaTheme="minorEastAsia"/>
          <w:color w:val="auto"/>
          <w:sz w:val="24"/>
          <w:highlight w:val="none"/>
        </w:rPr>
        <w:t>。</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3、评审结束后，通过发送邮件形式公布中标（成交）候选供应商名单，及采购人最终确定中标或成交供应商名单的时间和公告方式等。</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4、完成评标后，开标会议结束。</w:t>
      </w:r>
    </w:p>
    <w:p>
      <w:pPr>
        <w:pStyle w:val="13"/>
        <w:snapToGrid w:val="0"/>
        <w:spacing w:line="360" w:lineRule="auto"/>
        <w:ind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特别说明：</w:t>
      </w:r>
      <w:r>
        <w:rPr>
          <w:rFonts w:hint="eastAsia" w:asciiTheme="minorEastAsia" w:hAnsiTheme="minorEastAsia" w:eastAsiaTheme="minorEastAsia"/>
          <w:color w:val="auto"/>
          <w:sz w:val="24"/>
          <w:highlight w:val="none"/>
        </w:rPr>
        <w:t>如遇“政府采购云平台”电子化开标或评审程序调整的，按调整后执行。</w:t>
      </w:r>
    </w:p>
    <w:p>
      <w:pPr>
        <w:pStyle w:val="13"/>
        <w:snapToGrid w:val="0"/>
        <w:spacing w:line="360"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五、评标</w:t>
      </w:r>
    </w:p>
    <w:p>
      <w:pPr>
        <w:pStyle w:val="13"/>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（一）组建评标委员会</w:t>
      </w:r>
    </w:p>
    <w:p>
      <w:pPr>
        <w:pStyle w:val="13"/>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本项目评标委员会由政府采购评审专家</w:t>
      </w:r>
      <w:r>
        <w:rPr>
          <w:rFonts w:hint="eastAsia" w:asciiTheme="minorEastAsia" w:hAnsiTheme="minorEastAsia" w:eastAsiaTheme="minorEastAsia"/>
          <w:color w:val="auto"/>
          <w:sz w:val="24"/>
          <w:highlight w:val="none"/>
        </w:rPr>
        <w:t>和采购单位评审代表</w:t>
      </w:r>
      <w:r>
        <w:rPr>
          <w:rFonts w:hint="eastAsia" w:asciiTheme="minorEastAsia" w:hAnsiTheme="minorEastAsia" w:eastAsiaTheme="minorEastAsia"/>
          <w:color w:val="auto"/>
          <w:sz w:val="24"/>
          <w:highlight w:val="none"/>
          <w:lang w:eastAsia="zh-CN"/>
        </w:rPr>
        <w:t>（若有）</w:t>
      </w:r>
      <w:r>
        <w:rPr>
          <w:rFonts w:asciiTheme="minorEastAsia" w:hAnsiTheme="minorEastAsia" w:eastAsiaTheme="minorEastAsia"/>
          <w:color w:val="auto"/>
          <w:sz w:val="24"/>
          <w:highlight w:val="none"/>
        </w:rPr>
        <w:t>组成。</w:t>
      </w:r>
    </w:p>
    <w:p>
      <w:pPr>
        <w:pStyle w:val="13"/>
        <w:snapToGrid w:val="0"/>
        <w:spacing w:line="360" w:lineRule="auto"/>
        <w:ind w:left="720" w:leftChars="228" w:hanging="241" w:hangingChars="1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w:t>
      </w:r>
      <w:r>
        <w:rPr>
          <w:rFonts w:asciiTheme="minorEastAsia" w:hAnsiTheme="minorEastAsia" w:eastAsiaTheme="minorEastAsia"/>
          <w:b/>
          <w:bCs/>
          <w:color w:val="auto"/>
          <w:sz w:val="24"/>
          <w:highlight w:val="none"/>
        </w:rPr>
        <w:t>评标程序</w:t>
      </w:r>
    </w:p>
    <w:p>
      <w:pPr>
        <w:snapToGrid w:val="0"/>
        <w:spacing w:line="360" w:lineRule="auto"/>
        <w:ind w:firstLine="472" w:firstLineChars="196"/>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1、资格</w:t>
      </w:r>
      <w:r>
        <w:rPr>
          <w:rFonts w:asciiTheme="minorEastAsia" w:hAnsiTheme="minorEastAsia" w:eastAsiaTheme="minorEastAsia"/>
          <w:b/>
          <w:bCs/>
          <w:color w:val="auto"/>
          <w:sz w:val="24"/>
          <w:highlight w:val="none"/>
        </w:rPr>
        <w:t>审查</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18"/>
        <w:spacing w:before="0" w:beforeAutospacing="0" w:after="0" w:afterAutospacing="0" w:line="360" w:lineRule="auto"/>
        <w:ind w:firstLine="472" w:firstLineChars="196"/>
        <w:jc w:val="both"/>
        <w:rPr>
          <w:rFonts w:hint="default" w:asciiTheme="minorEastAsia" w:hAnsiTheme="minorEastAsia" w:eastAsiaTheme="minorEastAsia"/>
          <w:b/>
          <w:bCs/>
          <w:color w:val="auto"/>
          <w:highlight w:val="none"/>
        </w:rPr>
      </w:pPr>
      <w:r>
        <w:rPr>
          <w:rFonts w:asciiTheme="minorEastAsia" w:hAnsiTheme="minorEastAsia" w:eastAsiaTheme="minorEastAsia"/>
          <w:b/>
          <w:bCs/>
          <w:color w:val="auto"/>
          <w:highlight w:val="none"/>
        </w:rPr>
        <w:t>2、符合性审查</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8"/>
        <w:spacing w:before="0" w:beforeAutospacing="0" w:after="0" w:afterAutospacing="0" w:line="360" w:lineRule="auto"/>
        <w:ind w:firstLine="482" w:firstLineChars="200"/>
        <w:jc w:val="both"/>
        <w:rPr>
          <w:rFonts w:hint="default" w:asciiTheme="minorEastAsia" w:hAnsiTheme="minorEastAsia" w:eastAsiaTheme="minorEastAsia"/>
          <w:color w:val="auto"/>
          <w:highlight w:val="none"/>
        </w:rPr>
      </w:pPr>
      <w:r>
        <w:rPr>
          <w:rFonts w:asciiTheme="minorEastAsia" w:hAnsiTheme="minorEastAsia" w:eastAsiaTheme="minorEastAsia"/>
          <w:b/>
          <w:bCs/>
          <w:color w:val="auto"/>
          <w:highlight w:val="none"/>
        </w:rPr>
        <w:t>3、</w:t>
      </w:r>
      <w:r>
        <w:rPr>
          <w:rFonts w:hint="default" w:ascii="Arial" w:hAnsi="Arial" w:cs="Arial"/>
          <w:b/>
          <w:bCs/>
          <w:color w:val="auto"/>
          <w:highlight w:val="none"/>
        </w:rPr>
        <w:t>综合比较与评价</w:t>
      </w:r>
    </w:p>
    <w:p>
      <w:pPr>
        <w:pStyle w:val="18"/>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（1）对于投标文件中含义不明确、同类问题表述不一致或者有明显文字和计算错误的内容，评标委员会应当以书面形式要求投标人作出必要的澄清、说明或者补正。</w:t>
      </w:r>
    </w:p>
    <w:p>
      <w:pPr>
        <w:pStyle w:val="18"/>
        <w:spacing w:before="0" w:beforeAutospacing="0" w:after="0" w:afterAutospacing="0" w:line="360" w:lineRule="auto"/>
        <w:ind w:firstLine="360" w:firstLineChars="1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360" w:firstLineChars="15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（3）评标时，评标委员会各成员应当独立对每个投标人的投标文件进行评价，并汇总每个投标人的得分。</w:t>
      </w:r>
    </w:p>
    <w:p>
      <w:pPr>
        <w:numPr>
          <w:ilvl w:val="255"/>
          <w:numId w:val="0"/>
        </w:numPr>
        <w:snapToGrid w:val="0"/>
        <w:spacing w:line="360" w:lineRule="auto"/>
        <w:ind w:firstLine="482" w:firstLineChars="200"/>
        <w:rPr>
          <w:rFonts w:ascii="Arial" w:hAnsi="Arial" w:cs="Arial"/>
          <w:b/>
          <w:bCs/>
          <w:color w:val="auto"/>
          <w:sz w:val="24"/>
          <w:highlight w:val="none"/>
        </w:rPr>
      </w:pPr>
      <w:r>
        <w:rPr>
          <w:rFonts w:hint="eastAsia" w:ascii="Arial" w:hAnsi="Arial" w:cs="Arial"/>
          <w:b/>
          <w:bCs/>
          <w:color w:val="auto"/>
          <w:sz w:val="24"/>
          <w:highlight w:val="none"/>
        </w:rPr>
        <w:t>4、得分确认及评审报告编写</w:t>
      </w:r>
    </w:p>
    <w:p>
      <w:pPr>
        <w:pStyle w:val="13"/>
        <w:snapToGrid w:val="0"/>
        <w:spacing w:line="360" w:lineRule="auto"/>
        <w:ind w:firstLine="420" w:firstLineChars="17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评标委员会对报价文件进行复核，对于系统计算出的价格分及总得分进行确认；</w:t>
      </w:r>
    </w:p>
    <w:p>
      <w:pPr>
        <w:pStyle w:val="18"/>
        <w:spacing w:before="0" w:beforeAutospacing="0" w:after="0" w:afterAutospacing="0" w:line="360" w:lineRule="auto"/>
        <w:ind w:firstLine="420" w:firstLineChars="175"/>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（2）评标委员会应当按照招标文件中规定的评标方法和标准，对符合性审查合格的投标文件进行商务和技术评估，综合比较与评价。</w:t>
      </w:r>
    </w:p>
    <w:p>
      <w:pPr>
        <w:snapToGrid w:val="0"/>
        <w:spacing w:line="360" w:lineRule="auto"/>
        <w:ind w:firstLine="480" w:firstLineChars="200"/>
        <w:rPr>
          <w:rFonts w:ascii="Arial" w:hAnsi="Arial" w:cs="Arial"/>
          <w:b/>
          <w:bCs/>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kern w:val="0"/>
          <w:sz w:val="24"/>
          <w:highlight w:val="none"/>
        </w:rPr>
        <w:t>评标委员会</w:t>
      </w:r>
      <w:r>
        <w:rPr>
          <w:rFonts w:asciiTheme="minorEastAsia" w:hAnsiTheme="minorEastAsia" w:eastAsiaTheme="minorEastAsia"/>
          <w:color w:val="auto"/>
          <w:sz w:val="24"/>
          <w:highlight w:val="none"/>
        </w:rPr>
        <w:t>按评标原则</w:t>
      </w:r>
      <w:r>
        <w:rPr>
          <w:rFonts w:hint="eastAsia" w:asciiTheme="minorEastAsia" w:hAnsiTheme="minorEastAsia" w:eastAsiaTheme="minorEastAsia"/>
          <w:color w:val="auto"/>
          <w:sz w:val="24"/>
          <w:highlight w:val="none"/>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b/>
          <w:color w:val="auto"/>
          <w:kern w:val="0"/>
          <w:sz w:val="24"/>
          <w:highlight w:val="none"/>
        </w:rPr>
        <w:t>5、评价</w:t>
      </w:r>
    </w:p>
    <w:p>
      <w:pPr>
        <w:snapToGrid w:val="0"/>
        <w:spacing w:line="360" w:lineRule="auto"/>
        <w:ind w:firstLine="480" w:firstLineChars="200"/>
        <w:rPr>
          <w:rFonts w:asciiTheme="minorEastAsia" w:hAnsiTheme="minorEastAsia" w:eastAsiaTheme="minorEastAsia"/>
          <w:b/>
          <w:color w:val="auto"/>
          <w:kern w:val="0"/>
          <w:sz w:val="24"/>
          <w:highlight w:val="none"/>
        </w:rPr>
      </w:pPr>
      <w:r>
        <w:rPr>
          <w:rFonts w:hint="eastAsia" w:asciiTheme="minorEastAsia" w:hAnsiTheme="minorEastAsia" w:eastAsiaTheme="minorEastAsia"/>
          <w:color w:val="auto"/>
          <w:sz w:val="24"/>
          <w:highlight w:val="none"/>
        </w:rPr>
        <w:t>采购组织机构对评标委员会评审专家进行评价。</w:t>
      </w:r>
    </w:p>
    <w:p>
      <w:pPr>
        <w:snapToGrid w:val="0"/>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b/>
          <w:color w:val="auto"/>
          <w:sz w:val="24"/>
          <w:highlight w:val="none"/>
        </w:rPr>
        <w:t>（三）澄清问题的形式</w:t>
      </w:r>
    </w:p>
    <w:p>
      <w:pPr>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color w:val="auto"/>
          <w:sz w:val="24"/>
          <w:highlight w:val="none"/>
        </w:rPr>
        <w:t>投标人的澄清、说明或者补正应当采用书面形式，并加盖公章，或者由法定代理人或其授权的代表签字，并不得超出投标文件的范围或者改变投标文件的实质性内容。</w:t>
      </w:r>
    </w:p>
    <w:p>
      <w:pPr>
        <w:pStyle w:val="13"/>
        <w:snapToGrid w:val="0"/>
        <w:spacing w:line="360" w:lineRule="auto"/>
        <w:ind w:left="720" w:leftChars="228" w:hanging="241" w:hangingChars="1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（四）错误修正</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投标文件报价出现前后不一致的，除招标文件另有规定外，按照下列规定修正：</w:t>
      </w:r>
    </w:p>
    <w:p>
      <w:pPr>
        <w:pStyle w:val="18"/>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1、投标文件中开标一览表（报价表）内容与投标文件中相应内容不一致的，以开标一览表（报价表）为准；</w:t>
      </w:r>
    </w:p>
    <w:p>
      <w:pPr>
        <w:pStyle w:val="18"/>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2、大写金额和小写金额不一致的，以大写金额为准；</w:t>
      </w:r>
    </w:p>
    <w:p>
      <w:pPr>
        <w:pStyle w:val="18"/>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3、单价金额小数点或者百分比有明显错位的，以开标一览表的总价为准，并修改单价；</w:t>
      </w:r>
    </w:p>
    <w:p>
      <w:pPr>
        <w:pStyle w:val="18"/>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4、总价金额与按单价汇总金额不一致的，以单价金额计算结果为准。</w:t>
      </w:r>
    </w:p>
    <w:p>
      <w:pPr>
        <w:pStyle w:val="18"/>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同时出现两种以上不一致的，按照前款规定的顺序修正。修正应当采用书面形式，并加盖公章，或者由法定代表人或其授权的代表签字。修正后的报价经投标人确认后产生约束力，投标人不确认的，其投标无效。</w:t>
      </w:r>
    </w:p>
    <w:p>
      <w:pPr>
        <w:pStyle w:val="18"/>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bCs/>
          <w:color w:val="auto"/>
          <w:highlight w:val="none"/>
        </w:rPr>
        <w:t>（五）</w:t>
      </w:r>
      <w:r>
        <w:rPr>
          <w:rFonts w:asciiTheme="minorEastAsia" w:hAnsiTheme="minorEastAsia" w:eastAsiaTheme="minorEastAsia"/>
          <w:b/>
          <w:color w:val="auto"/>
          <w:highlight w:val="none"/>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kern w:val="0"/>
          <w:sz w:val="24"/>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pPr>
        <w:pStyle w:val="18"/>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2、不具备招标文件中规定的资格要求的。</w:t>
      </w:r>
      <w:r>
        <w:rPr>
          <w:rFonts w:hint="default" w:asciiTheme="minorEastAsia" w:hAnsiTheme="minorEastAsia" w:eastAsiaTheme="minorEastAsia"/>
          <w:color w:val="auto"/>
          <w:highlight w:val="none"/>
        </w:rPr>
        <w:tab/>
      </w:r>
    </w:p>
    <w:p>
      <w:pPr>
        <w:pStyle w:val="18"/>
        <w:adjustRightInd w:val="0"/>
        <w:snapToGrid w:val="0"/>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3、投标文件含有采购人不能接受的附加条件的。</w:t>
      </w:r>
    </w:p>
    <w:p>
      <w:pPr>
        <w:adjustRightInd w:val="0"/>
        <w:snapToGrid w:val="0"/>
        <w:spacing w:line="360" w:lineRule="auto"/>
        <w:ind w:firstLine="470" w:firstLineChars="196"/>
        <w:rPr>
          <w:rFonts w:asciiTheme="minorEastAsia" w:hAnsiTheme="minorEastAsia" w:eastAsiaTheme="minorEastAsia"/>
          <w:bCs/>
          <w:color w:val="auto"/>
          <w:kern w:val="0"/>
          <w:sz w:val="24"/>
          <w:highlight w:val="none"/>
        </w:rPr>
      </w:pPr>
      <w:r>
        <w:rPr>
          <w:rFonts w:hint="eastAsia" w:asciiTheme="minorEastAsia" w:hAnsiTheme="minorEastAsia" w:eastAsiaTheme="minorEastAsia"/>
          <w:color w:val="auto"/>
          <w:kern w:val="0"/>
          <w:sz w:val="24"/>
          <w:highlight w:val="none"/>
        </w:rPr>
        <w:t>4</w:t>
      </w:r>
      <w:r>
        <w:rPr>
          <w:rFonts w:hint="eastAsia" w:asciiTheme="minorEastAsia" w:hAnsiTheme="minorEastAsia" w:eastAsiaTheme="minorEastAsia"/>
          <w:color w:val="auto"/>
          <w:sz w:val="24"/>
          <w:highlight w:val="none"/>
        </w:rPr>
        <w:t>、投标代表人未能出具身份证明或与法定代表人授权委托人身份不符的；</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xml:space="preserve">6、报价超过招标文件中规定的最高限价。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 xml:space="preserve">8、投标文件提供虚假材料的。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9</w:t>
      </w:r>
      <w:r>
        <w:rPr>
          <w:rFonts w:asciiTheme="minorEastAsia" w:hAnsiTheme="minorEastAsia" w:eastAsiaTheme="minorEastAsia"/>
          <w:color w:val="auto"/>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auto"/>
          <w:kern w:val="0"/>
          <w:sz w:val="24"/>
          <w:highlight w:val="none"/>
        </w:rPr>
        <w:t>，并移送采购监管部门</w:t>
      </w:r>
      <w:r>
        <w:rPr>
          <w:rFonts w:asciiTheme="minorEastAsia" w:hAnsiTheme="minorEastAsia" w:eastAsiaTheme="minorEastAsia"/>
          <w:color w:val="auto"/>
          <w:kern w:val="0"/>
          <w:sz w:val="24"/>
          <w:highlight w:val="none"/>
        </w:rPr>
        <w:t>：</w:t>
      </w:r>
    </w:p>
    <w:p>
      <w:pPr>
        <w:pStyle w:val="18"/>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（1）不同投标人的投标文件由同一单位或者个人编制；</w:t>
      </w:r>
    </w:p>
    <w:p>
      <w:pPr>
        <w:pStyle w:val="18"/>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（2）不同投标人委托同一单位或者个人办理投标事宜；</w:t>
      </w:r>
    </w:p>
    <w:p>
      <w:pPr>
        <w:pStyle w:val="18"/>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（3）不同投标人的投标文件载明的项目管理成员或者联系人员为同一人；</w:t>
      </w:r>
    </w:p>
    <w:p>
      <w:pPr>
        <w:pStyle w:val="18"/>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（4）不同投标人的投标文件异常一致或者投标报价呈规律性差异；</w:t>
      </w:r>
    </w:p>
    <w:p>
      <w:pPr>
        <w:pStyle w:val="18"/>
        <w:spacing w:before="0" w:beforeAutospacing="0" w:after="0" w:afterAutospacing="0" w:line="360" w:lineRule="auto"/>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　 （5）不同投标人的投标文件相互混装。</w:t>
      </w:r>
    </w:p>
    <w:p>
      <w:pPr>
        <w:autoSpaceDE w:val="0"/>
        <w:autoSpaceDN w:val="0"/>
        <w:adjustRightInd w:val="0"/>
        <w:spacing w:line="360" w:lineRule="auto"/>
        <w:ind w:firstLine="480" w:firstLineChars="2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中打</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olor w:val="auto"/>
          <w:kern w:val="0"/>
          <w:sz w:val="24"/>
          <w:highlight w:val="none"/>
        </w:rPr>
        <w:t>内容及被拒绝的条款）。</w:t>
      </w:r>
    </w:p>
    <w:p>
      <w:pPr>
        <w:autoSpaceDE w:val="0"/>
        <w:autoSpaceDN w:val="0"/>
        <w:adjustRightInd w:val="0"/>
        <w:spacing w:line="360" w:lineRule="auto"/>
        <w:ind w:left="480"/>
        <w:rPr>
          <w:rFonts w:asciiTheme="minorEastAsia" w:hAnsiTheme="minorEastAsia" w:eastAsiaTheme="minorEastAsia"/>
          <w:color w:val="auto"/>
          <w:kern w:val="0"/>
          <w:sz w:val="24"/>
          <w:highlight w:val="none"/>
        </w:rPr>
      </w:pPr>
      <w:r>
        <w:rPr>
          <w:rFonts w:hint="eastAsia" w:asciiTheme="minorEastAsia" w:hAnsiTheme="minorEastAsia" w:eastAsiaTheme="minorEastAsia"/>
          <w:b/>
          <w:color w:val="auto"/>
          <w:kern w:val="0"/>
          <w:sz w:val="24"/>
          <w:highlight w:val="none"/>
        </w:rPr>
        <w:t>（六）有下列情况之一的，本次招标作为废标处理</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1、出现影响采购公正的违法、违规行为的；</w:t>
      </w:r>
    </w:p>
    <w:p>
      <w:pPr>
        <w:pStyle w:val="18"/>
        <w:spacing w:before="0" w:beforeAutospacing="0" w:after="0" w:afterAutospacing="0" w:line="360" w:lineRule="auto"/>
        <w:ind w:firstLine="600" w:firstLineChars="250"/>
        <w:jc w:val="both"/>
        <w:rPr>
          <w:rFonts w:hint="default" w:asciiTheme="minorEastAsia" w:hAnsiTheme="minorEastAsia" w:eastAsiaTheme="minorEastAsia"/>
          <w:b/>
          <w:bCs/>
          <w:color w:val="auto"/>
          <w:highlight w:val="none"/>
        </w:rPr>
      </w:pPr>
      <w:r>
        <w:rPr>
          <w:rFonts w:asciiTheme="minorEastAsia" w:hAnsiTheme="minorEastAsia" w:eastAsiaTheme="minorEastAsia"/>
          <w:color w:val="auto"/>
          <w:highlight w:val="none"/>
        </w:rPr>
        <w:t xml:space="preserve">2、评标委员会发现招标文件存在歧义、重大缺陷导致评标工作无法进行，或者招标文件内容违反国家有关强制性规定的； </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3、因重大变故，采购任务取消的；</w:t>
      </w:r>
    </w:p>
    <w:p>
      <w:pPr>
        <w:pStyle w:val="18"/>
        <w:spacing w:before="0" w:beforeAutospacing="0" w:after="0" w:afterAutospacing="0" w:line="360" w:lineRule="auto"/>
        <w:ind w:firstLine="600" w:firstLineChars="25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4、法律、法规和招标文件规定的其他导致评标结果无效的。</w:t>
      </w:r>
    </w:p>
    <w:p>
      <w:pPr>
        <w:pStyle w:val="13"/>
        <w:tabs>
          <w:tab w:val="left" w:pos="630"/>
        </w:tabs>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）评标原则和评标办法</w:t>
      </w:r>
    </w:p>
    <w:p>
      <w:pPr>
        <w:pStyle w:val="13"/>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line="360" w:lineRule="auto"/>
        <w:ind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评标办法。具体评标内容及评分标准等详见《第</w:t>
      </w:r>
      <w:r>
        <w:rPr>
          <w:rFonts w:hint="eastAsia" w:asciiTheme="minorEastAsia" w:hAnsiTheme="minorEastAsia" w:eastAsiaTheme="minorEastAsia"/>
          <w:color w:val="auto"/>
          <w:sz w:val="24"/>
          <w:highlight w:val="none"/>
        </w:rPr>
        <w:t>三章</w:t>
      </w:r>
      <w:r>
        <w:rPr>
          <w:rFonts w:asciiTheme="minorEastAsia" w:hAnsiTheme="minorEastAsia" w:eastAsiaTheme="minorEastAsia"/>
          <w:color w:val="auto"/>
          <w:sz w:val="24"/>
          <w:highlight w:val="none"/>
        </w:rPr>
        <w:t>：评标</w:t>
      </w:r>
      <w:r>
        <w:rPr>
          <w:rFonts w:hint="eastAsia" w:asciiTheme="minorEastAsia" w:hAnsiTheme="minorEastAsia" w:eastAsiaTheme="minorEastAsia"/>
          <w:color w:val="auto"/>
          <w:sz w:val="24"/>
          <w:highlight w:val="none"/>
        </w:rPr>
        <w:t>方</w:t>
      </w:r>
      <w:r>
        <w:rPr>
          <w:rFonts w:asciiTheme="minorEastAsia" w:hAnsiTheme="minorEastAsia" w:eastAsiaTheme="minorEastAsia"/>
          <w:color w:val="auto"/>
          <w:sz w:val="24"/>
          <w:highlight w:val="none"/>
        </w:rPr>
        <w:t>法及评分标准》。</w:t>
      </w:r>
    </w:p>
    <w:p>
      <w:pPr>
        <w:pStyle w:val="13"/>
        <w:snapToGrid w:val="0"/>
        <w:spacing w:line="360" w:lineRule="auto"/>
        <w:ind w:firstLine="472" w:firstLineChars="196"/>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八</w:t>
      </w:r>
      <w:r>
        <w:rPr>
          <w:rFonts w:asciiTheme="minorEastAsia" w:hAnsiTheme="minorEastAsia" w:eastAsiaTheme="minorEastAsia"/>
          <w:b/>
          <w:color w:val="auto"/>
          <w:sz w:val="24"/>
          <w:highlight w:val="none"/>
        </w:rPr>
        <w:t>）评标过程的监控</w:t>
      </w:r>
    </w:p>
    <w:p>
      <w:pPr>
        <w:pStyle w:val="18"/>
        <w:spacing w:before="0" w:beforeAutospacing="0" w:after="0" w:afterAutospacing="0" w:line="360"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本项目评标过程实行全程录音、录像监控，政府采购监管部门视情进行现场监督，投标人在评标过程中所进行的试图影响评标结果的不公正活动，可能导致其投标被拒绝。</w:t>
      </w:r>
    </w:p>
    <w:p>
      <w:pPr>
        <w:pStyle w:val="18"/>
        <w:spacing w:before="0" w:beforeAutospacing="0" w:after="0" w:afterAutospacing="0" w:line="360" w:lineRule="auto"/>
        <w:ind w:firstLine="361" w:firstLineChars="150"/>
        <w:jc w:val="both"/>
        <w:rPr>
          <w:rFonts w:hint="default" w:asciiTheme="minorEastAsia" w:hAnsiTheme="minorEastAsia" w:eastAsiaTheme="minorEastAsia"/>
          <w:b/>
          <w:color w:val="auto"/>
          <w:highlight w:val="none"/>
        </w:rPr>
      </w:pPr>
      <w:r>
        <w:rPr>
          <w:rFonts w:asciiTheme="minorEastAsia" w:hAnsiTheme="minorEastAsia" w:eastAsiaTheme="minorEastAsia"/>
          <w:b/>
          <w:color w:val="auto"/>
          <w:highlight w:val="none"/>
        </w:rPr>
        <w:t>六、定标</w:t>
      </w:r>
    </w:p>
    <w:p>
      <w:pPr>
        <w:pStyle w:val="18"/>
        <w:spacing w:before="0" w:beforeAutospacing="0" w:after="0" w:afterAutospacing="0" w:line="324" w:lineRule="auto"/>
        <w:ind w:firstLine="480" w:firstLineChars="200"/>
        <w:jc w:val="both"/>
        <w:rPr>
          <w:rFonts w:hint="default" w:asciiTheme="minorEastAsia" w:hAnsiTheme="minorEastAsia" w:eastAsiaTheme="minorEastAsia"/>
          <w:color w:val="auto"/>
          <w:highlight w:val="none"/>
        </w:rPr>
      </w:pPr>
      <w:r>
        <w:rPr>
          <w:rFonts w:asciiTheme="minorEastAsia" w:hAnsiTheme="minorEastAsia" w:eastAsiaTheme="minorEastAsia"/>
          <w:color w:val="auto"/>
          <w:highlight w:val="none"/>
        </w:rPr>
        <w:t>1、</w:t>
      </w:r>
      <w:r>
        <w:rPr>
          <w:color w:val="auto"/>
          <w:highlight w:val="none"/>
        </w:rPr>
        <w:t>确定中标供应商。</w:t>
      </w:r>
      <w:r>
        <w:rPr>
          <w:rFonts w:asciiTheme="minorEastAsia" w:hAnsiTheme="minorEastAsia" w:eastAsiaTheme="minorEastAsia"/>
          <w:color w:val="auto"/>
          <w:highlight w:val="none"/>
        </w:rPr>
        <w:t>评标委员会根据采购单位的</w:t>
      </w:r>
      <w:r>
        <w:rPr>
          <w:color w:val="auto"/>
          <w:highlight w:val="none"/>
        </w:rPr>
        <w:t>《授权意见确认书》</w:t>
      </w:r>
      <w:r>
        <w:rPr>
          <w:rFonts w:asciiTheme="minorEastAsia" w:hAnsiTheme="minorEastAsia" w:eastAsiaTheme="minorEastAsia"/>
          <w:color w:val="auto"/>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24" w:lineRule="auto"/>
        <w:ind w:firstLine="480" w:firstLineChars="200"/>
        <w:rPr>
          <w:rFonts w:ascii="宋体" w:hAnsi="宋体"/>
          <w:color w:val="auto"/>
          <w:kern w:val="0"/>
          <w:sz w:val="24"/>
          <w:highlight w:val="none"/>
        </w:rPr>
      </w:pPr>
      <w:r>
        <w:rPr>
          <w:rFonts w:asciiTheme="minorEastAsia" w:hAnsiTheme="minorEastAsia" w:eastAsiaTheme="minorEastAsia"/>
          <w:color w:val="auto"/>
          <w:sz w:val="24"/>
          <w:highlight w:val="none"/>
        </w:rPr>
        <w:t>2、</w:t>
      </w:r>
      <w:r>
        <w:rPr>
          <w:rFonts w:hint="eastAsia" w:ascii="宋体" w:hAnsi="宋体"/>
          <w:color w:val="auto"/>
          <w:kern w:val="0"/>
          <w:sz w:val="24"/>
          <w:highlight w:val="none"/>
        </w:rPr>
        <w:t>发布</w:t>
      </w:r>
      <w:r>
        <w:rPr>
          <w:color w:val="auto"/>
          <w:sz w:val="24"/>
          <w:highlight w:val="none"/>
        </w:rPr>
        <w:t>中标</w:t>
      </w:r>
      <w:r>
        <w:rPr>
          <w:rFonts w:hint="eastAsia" w:ascii="宋体" w:hAnsi="宋体"/>
          <w:color w:val="auto"/>
          <w:kern w:val="0"/>
          <w:sz w:val="24"/>
          <w:highlight w:val="none"/>
        </w:rPr>
        <w:t>结果公告。采购组织机构应当自中标人</w:t>
      </w:r>
      <w:r>
        <w:rPr>
          <w:rFonts w:ascii="宋体" w:hAnsi="宋体"/>
          <w:color w:val="auto"/>
          <w:kern w:val="0"/>
          <w:sz w:val="24"/>
          <w:highlight w:val="none"/>
        </w:rPr>
        <w:t>确定</w:t>
      </w:r>
      <w:r>
        <w:rPr>
          <w:rFonts w:hint="eastAsia" w:ascii="宋体" w:hAnsi="宋体"/>
          <w:color w:val="auto"/>
          <w:kern w:val="0"/>
          <w:sz w:val="24"/>
          <w:highlight w:val="none"/>
        </w:rPr>
        <w:t>之日起</w:t>
      </w:r>
      <w:r>
        <w:rPr>
          <w:rFonts w:ascii="宋体" w:hAnsi="宋体"/>
          <w:color w:val="auto"/>
          <w:kern w:val="0"/>
          <w:sz w:val="24"/>
          <w:highlight w:val="none"/>
        </w:rPr>
        <w:t>2个工作日内</w:t>
      </w:r>
      <w:r>
        <w:rPr>
          <w:rFonts w:hint="eastAsia" w:ascii="宋体" w:hAnsi="宋体"/>
          <w:color w:val="auto"/>
          <w:kern w:val="0"/>
          <w:sz w:val="24"/>
          <w:highlight w:val="none"/>
        </w:rPr>
        <w:t>，</w:t>
      </w:r>
      <w:r>
        <w:rPr>
          <w:rFonts w:ascii="宋体" w:hAnsi="宋体"/>
          <w:color w:val="auto"/>
          <w:kern w:val="0"/>
          <w:sz w:val="24"/>
          <w:highlight w:val="none"/>
        </w:rPr>
        <w:t>在省级以上财政部门指定的媒体及相关网站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kern w:val="0"/>
          <w:sz w:val="24"/>
          <w:highlight w:val="none"/>
        </w:rPr>
        <w:t>中标结果，招标文件应当随中标结果同时公告。</w:t>
      </w:r>
    </w:p>
    <w:p>
      <w:pPr>
        <w:spacing w:line="324"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3、发出中标通知书。采购组织机构在发布中标结果的同时，向中标人发出中标通知书。</w:t>
      </w:r>
    </w:p>
    <w:p>
      <w:pPr>
        <w:spacing w:line="324" w:lineRule="auto"/>
        <w:ind w:firstLine="482" w:firstLineChars="200"/>
        <w:rPr>
          <w:rFonts w:ascii="宋体" w:hAnsi="宋体"/>
          <w:color w:val="auto"/>
          <w:kern w:val="0"/>
          <w:sz w:val="24"/>
          <w:highlight w:val="none"/>
        </w:rPr>
      </w:pPr>
      <w:r>
        <w:rPr>
          <w:rFonts w:hint="eastAsia" w:asciiTheme="minorEastAsia" w:hAnsiTheme="minorEastAsia" w:eastAsiaTheme="minorEastAsia"/>
          <w:b/>
          <w:color w:val="auto"/>
          <w:sz w:val="24"/>
          <w:highlight w:val="none"/>
        </w:rPr>
        <w:t>七</w:t>
      </w:r>
      <w:r>
        <w:rPr>
          <w:rFonts w:asciiTheme="minorEastAsia" w:hAnsiTheme="minorEastAsia" w:eastAsiaTheme="minorEastAsia"/>
          <w:b/>
          <w:color w:val="auto"/>
          <w:sz w:val="24"/>
          <w:highlight w:val="none"/>
        </w:rPr>
        <w:t>、</w:t>
      </w:r>
      <w:r>
        <w:rPr>
          <w:rFonts w:hint="eastAsia" w:ascii="宋体" w:hAnsi="宋体"/>
          <w:b/>
          <w:color w:val="auto"/>
          <w:kern w:val="0"/>
          <w:sz w:val="24"/>
          <w:highlight w:val="none"/>
        </w:rPr>
        <w:t>合同签订及公告</w:t>
      </w:r>
    </w:p>
    <w:p>
      <w:pPr>
        <w:spacing w:line="324" w:lineRule="auto"/>
        <w:ind w:firstLine="482" w:firstLineChars="200"/>
        <w:rPr>
          <w:rFonts w:ascii="宋体" w:hAnsi="宋体"/>
          <w:b/>
          <w:color w:val="auto"/>
          <w:kern w:val="0"/>
          <w:sz w:val="24"/>
          <w:highlight w:val="none"/>
        </w:rPr>
      </w:pPr>
      <w:r>
        <w:rPr>
          <w:rFonts w:hint="eastAsia" w:ascii="宋体" w:hAnsi="宋体"/>
          <w:b/>
          <w:color w:val="auto"/>
          <w:sz w:val="24"/>
          <w:highlight w:val="none"/>
        </w:rPr>
        <w:t>（一）签订合同</w:t>
      </w:r>
    </w:p>
    <w:p>
      <w:pPr>
        <w:pStyle w:val="18"/>
        <w:spacing w:before="0" w:beforeAutospacing="0" w:after="0" w:afterAutospacing="0" w:line="324" w:lineRule="auto"/>
        <w:ind w:firstLine="424" w:firstLineChars="177"/>
        <w:jc w:val="both"/>
        <w:rPr>
          <w:rFonts w:hint="default"/>
          <w:color w:val="auto"/>
          <w:highlight w:val="none"/>
        </w:rPr>
      </w:pPr>
      <w:r>
        <w:rPr>
          <w:color w:val="auto"/>
          <w:highlight w:val="none"/>
        </w:rPr>
        <w:t>1、采购人应当自中标通知书发出之日起30个工作日内，按照招标文件和中标人投标文件的规定，与中标人签订书面合同。所签订的合同不得对招标文件确定的事项和中标人投标文件作实质性修改。</w:t>
      </w:r>
    </w:p>
    <w:p>
      <w:pPr>
        <w:pStyle w:val="18"/>
        <w:spacing w:before="0" w:beforeAutospacing="0" w:after="0" w:afterAutospacing="0" w:line="324" w:lineRule="auto"/>
        <w:ind w:firstLine="480" w:firstLineChars="200"/>
        <w:jc w:val="both"/>
        <w:rPr>
          <w:rFonts w:hint="default"/>
          <w:color w:val="auto"/>
          <w:highlight w:val="none"/>
        </w:rPr>
      </w:pPr>
      <w:r>
        <w:rPr>
          <w:color w:val="auto"/>
          <w:highlight w:val="none"/>
        </w:rPr>
        <w:t>2、采购人不得向中标人提出任何不合理的要求作为签订合同的条件。</w:t>
      </w:r>
    </w:p>
    <w:p>
      <w:pPr>
        <w:pStyle w:val="18"/>
        <w:spacing w:before="0" w:beforeAutospacing="0" w:after="0" w:afterAutospacing="0" w:line="324" w:lineRule="auto"/>
        <w:ind w:firstLine="480" w:firstLineChars="200"/>
        <w:jc w:val="both"/>
        <w:rPr>
          <w:rFonts w:hint="default"/>
          <w:color w:val="auto"/>
          <w:highlight w:val="none"/>
        </w:rPr>
      </w:pPr>
      <w:r>
        <w:rPr>
          <w:color w:val="auto"/>
          <w:highlight w:val="none"/>
        </w:rPr>
        <w:t>3、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8"/>
        <w:spacing w:before="0" w:beforeAutospacing="0" w:after="0" w:afterAutospacing="0" w:line="324" w:lineRule="auto"/>
        <w:ind w:firstLine="480" w:firstLineChars="200"/>
        <w:jc w:val="both"/>
        <w:rPr>
          <w:rFonts w:hint="default"/>
          <w:color w:val="auto"/>
          <w:highlight w:val="none"/>
        </w:rPr>
      </w:pPr>
      <w:r>
        <w:rPr>
          <w:color w:val="auto"/>
          <w:highlight w:val="none"/>
        </w:rPr>
        <w:t>4、询问或者质疑事项可能影响中标结果的，采购人应当暂停签订合同，已经签订合同的，应当中止履行合同（中标结果的质疑期为中标结果公告期限届满之日起七个工作日）。</w:t>
      </w:r>
    </w:p>
    <w:p>
      <w:pPr>
        <w:spacing w:line="324"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（二）合同公告及备案</w:t>
      </w:r>
    </w:p>
    <w:p>
      <w:pPr>
        <w:pStyle w:val="3"/>
        <w:spacing w:line="324"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1、采购人应当自政府采购合同签订之日起2个工作日内，</w:t>
      </w:r>
      <w:r>
        <w:rPr>
          <w:rFonts w:ascii="宋体" w:hAnsi="宋体"/>
          <w:color w:val="auto"/>
          <w:kern w:val="0"/>
          <w:sz w:val="24"/>
          <w:highlight w:val="none"/>
        </w:rPr>
        <w:t>在省级以上财政部门指定的</w:t>
      </w:r>
      <w:r>
        <w:rPr>
          <w:rFonts w:hint="eastAsia" w:ascii="宋体" w:hAnsi="宋体"/>
          <w:color w:val="auto"/>
          <w:kern w:val="0"/>
          <w:sz w:val="24"/>
          <w:highlight w:val="none"/>
        </w:rPr>
        <w:t>政府采购信息发布</w:t>
      </w:r>
      <w:r>
        <w:rPr>
          <w:rFonts w:ascii="宋体" w:hAnsi="宋体"/>
          <w:color w:val="auto"/>
          <w:kern w:val="0"/>
          <w:sz w:val="24"/>
          <w:highlight w:val="none"/>
        </w:rPr>
        <w:t>媒体及相关网站</w:t>
      </w:r>
      <w:r>
        <w:rPr>
          <w:rFonts w:hint="eastAsia" w:ascii="宋体" w:hAnsi="宋体"/>
          <w:color w:val="auto"/>
          <w:kern w:val="0"/>
          <w:sz w:val="24"/>
          <w:highlight w:val="none"/>
        </w:rPr>
        <w:t>上</w:t>
      </w:r>
      <w:r>
        <w:rPr>
          <w:rFonts w:ascii="宋体" w:hAnsi="宋体"/>
          <w:color w:val="auto"/>
          <w:kern w:val="0"/>
          <w:sz w:val="24"/>
          <w:highlight w:val="none"/>
        </w:rPr>
        <w:t>公告</w:t>
      </w:r>
      <w:r>
        <w:rPr>
          <w:rFonts w:hint="eastAsia" w:ascii="宋体" w:hAnsi="宋体"/>
          <w:color w:val="auto"/>
          <w:sz w:val="24"/>
          <w:highlight w:val="none"/>
        </w:rPr>
        <w:t>。</w:t>
      </w:r>
    </w:p>
    <w:p>
      <w:pPr>
        <w:pStyle w:val="3"/>
        <w:spacing w:line="324" w:lineRule="auto"/>
        <w:ind w:left="0" w:leftChars="0" w:firstLine="480" w:firstLineChars="200"/>
        <w:jc w:val="left"/>
        <w:rPr>
          <w:rFonts w:ascii="宋体" w:hAnsi="宋体"/>
          <w:color w:val="auto"/>
          <w:sz w:val="24"/>
          <w:highlight w:val="none"/>
        </w:rPr>
      </w:pPr>
      <w:r>
        <w:rPr>
          <w:rFonts w:hint="eastAsia" w:ascii="宋体" w:hAnsi="宋体"/>
          <w:color w:val="auto"/>
          <w:sz w:val="24"/>
          <w:highlight w:val="none"/>
        </w:rPr>
        <w:t>2、采购人应当自政府采购合同签订之日起7个工作日内，将政府采购合同副本报同级人民政府财政部门备案以及采购组织机构存档。</w:t>
      </w:r>
    </w:p>
    <w:p>
      <w:pPr>
        <w:pStyle w:val="13"/>
        <w:snapToGrid w:val="0"/>
        <w:spacing w:line="324" w:lineRule="auto"/>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八、采购代理费</w:t>
      </w:r>
    </w:p>
    <w:p>
      <w:pPr>
        <w:autoSpaceDE w:val="0"/>
        <w:autoSpaceDN w:val="0"/>
        <w:adjustRightInd w:val="0"/>
        <w:spacing w:line="324" w:lineRule="auto"/>
        <w:ind w:firstLine="480" w:firstLineChars="200"/>
        <w:textAlignment w:val="bottom"/>
        <w:rPr>
          <w:rFonts w:ascii="宋体" w:hAnsi="宋体"/>
          <w:color w:val="auto"/>
          <w:sz w:val="24"/>
          <w:highlight w:val="none"/>
        </w:rPr>
      </w:pPr>
      <w:r>
        <w:rPr>
          <w:rFonts w:hint="eastAsia" w:ascii="宋体" w:hAnsi="宋体"/>
          <w:color w:val="auto"/>
          <w:sz w:val="24"/>
          <w:highlight w:val="none"/>
        </w:rPr>
        <w:t>中标供应商在领取中标通知书前须支付</w:t>
      </w:r>
      <w:r>
        <w:rPr>
          <w:rFonts w:hint="eastAsia" w:ascii="宋体" w:hAnsi="宋体" w:cs="Arial"/>
          <w:color w:val="auto"/>
          <w:sz w:val="24"/>
          <w:highlight w:val="none"/>
        </w:rPr>
        <w:t>采购代理费</w:t>
      </w:r>
      <w:r>
        <w:rPr>
          <w:rFonts w:hint="eastAsia" w:ascii="宋体" w:hAnsi="宋体"/>
          <w:color w:val="auto"/>
          <w:sz w:val="24"/>
          <w:highlight w:val="none"/>
          <w:lang w:val="en-US" w:eastAsia="zh-CN"/>
        </w:rPr>
        <w:t>7</w:t>
      </w:r>
      <w:r>
        <w:rPr>
          <w:rFonts w:hint="eastAsia" w:ascii="宋体" w:hAnsi="宋体"/>
          <w:color w:val="auto"/>
          <w:sz w:val="24"/>
          <w:highlight w:val="none"/>
        </w:rPr>
        <w:t>000元，</w:t>
      </w:r>
      <w:r>
        <w:rPr>
          <w:rFonts w:hint="eastAsia" w:ascii="宋体" w:hAnsi="宋体" w:cs="Arial"/>
          <w:color w:val="auto"/>
          <w:sz w:val="24"/>
          <w:highlight w:val="none"/>
        </w:rPr>
        <w:t>采购代理费</w:t>
      </w:r>
      <w:r>
        <w:rPr>
          <w:rFonts w:hint="eastAsia" w:ascii="宋体" w:hAnsi="宋体"/>
          <w:color w:val="auto"/>
          <w:sz w:val="24"/>
          <w:highlight w:val="none"/>
        </w:rPr>
        <w:t>包含在投标总价中。</w:t>
      </w:r>
      <w:r>
        <w:rPr>
          <w:rFonts w:hint="eastAsia" w:ascii="宋体" w:hAnsi="宋体" w:cs="Arial"/>
          <w:color w:val="auto"/>
          <w:sz w:val="24"/>
          <w:highlight w:val="none"/>
        </w:rPr>
        <w:t>采购代理费（</w:t>
      </w:r>
      <w:r>
        <w:rPr>
          <w:rFonts w:hint="eastAsia" w:ascii="宋体" w:hAnsi="宋体"/>
          <w:color w:val="auto"/>
          <w:sz w:val="24"/>
          <w:highlight w:val="none"/>
        </w:rPr>
        <w:t>招标代理服务费</w:t>
      </w:r>
      <w:r>
        <w:rPr>
          <w:rFonts w:hint="eastAsia" w:ascii="宋体" w:hAnsi="宋体" w:cs="Arial"/>
          <w:color w:val="auto"/>
          <w:sz w:val="24"/>
          <w:highlight w:val="none"/>
        </w:rPr>
        <w:t>）</w:t>
      </w:r>
      <w:r>
        <w:rPr>
          <w:rFonts w:hint="eastAsia" w:ascii="宋体" w:hAnsi="宋体"/>
          <w:color w:val="auto"/>
          <w:sz w:val="24"/>
          <w:highlight w:val="none"/>
        </w:rPr>
        <w:t>汇入以下账户：</w:t>
      </w:r>
    </w:p>
    <w:p>
      <w:pPr>
        <w:adjustRightInd w:val="0"/>
        <w:snapToGrid w:val="0"/>
        <w:spacing w:line="324"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开户银行：中国工商银行玉环市支行</w:t>
      </w:r>
    </w:p>
    <w:p>
      <w:pPr>
        <w:adjustRightInd w:val="0"/>
        <w:snapToGrid w:val="0"/>
        <w:spacing w:line="324"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开户名称：台州恒信工程造价咨询有限公司</w:t>
      </w:r>
    </w:p>
    <w:p>
      <w:pPr>
        <w:adjustRightInd w:val="0"/>
        <w:snapToGrid w:val="0"/>
        <w:spacing w:line="324" w:lineRule="auto"/>
        <w:ind w:firstLine="480" w:firstLineChars="200"/>
        <w:rPr>
          <w:rFonts w:asciiTheme="minorEastAsia" w:hAnsiTheme="minorEastAsia" w:eastAsiaTheme="minorEastAsia"/>
          <w:b/>
          <w:color w:val="auto"/>
          <w:sz w:val="28"/>
          <w:szCs w:val="28"/>
          <w:highlight w:val="none"/>
        </w:rPr>
      </w:pPr>
      <w:r>
        <w:rPr>
          <w:rFonts w:hint="eastAsia" w:ascii="宋体" w:hAnsi="宋体"/>
          <w:color w:val="auto"/>
          <w:kern w:val="0"/>
          <w:sz w:val="24"/>
          <w:highlight w:val="none"/>
        </w:rPr>
        <w:t>开户帐号：1207 0811 0904 5089 355</w:t>
      </w:r>
    </w:p>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评标办法及评分标准</w:t>
      </w:r>
    </w:p>
    <w:p>
      <w:pPr>
        <w:autoSpaceDE w:val="0"/>
        <w:autoSpaceDN w:val="0"/>
        <w:adjustRightInd w:val="0"/>
        <w:spacing w:line="440" w:lineRule="exact"/>
        <w:ind w:firstLine="482" w:firstLineChars="200"/>
        <w:rPr>
          <w:rFonts w:ascii="宋体" w:hAnsi="宋体"/>
          <w:color w:val="auto"/>
          <w:sz w:val="24"/>
          <w:highlight w:val="none"/>
        </w:rPr>
      </w:pPr>
      <w:r>
        <w:rPr>
          <w:rFonts w:hint="eastAsia" w:ascii="宋体" w:hAnsi="宋体"/>
          <w:b/>
          <w:color w:val="auto"/>
          <w:sz w:val="24"/>
          <w:highlight w:val="none"/>
        </w:rPr>
        <w:t>本项目采用综合评分法</w:t>
      </w:r>
      <w:r>
        <w:rPr>
          <w:rFonts w:hint="eastAsia" w:ascii="宋体" w:hAnsi="宋体"/>
          <w:color w:val="auto"/>
          <w:sz w:val="24"/>
          <w:highlight w:val="none"/>
        </w:rPr>
        <w:t>，评标委员会将对各投标人的投标报价、</w:t>
      </w:r>
      <w:r>
        <w:rPr>
          <w:rFonts w:hint="eastAsia" w:ascii="宋体" w:hAnsi="宋体"/>
          <w:bCs/>
          <w:color w:val="auto"/>
          <w:sz w:val="24"/>
          <w:highlight w:val="none"/>
        </w:rPr>
        <w:t>技术和服务方案</w:t>
      </w:r>
      <w:r>
        <w:rPr>
          <w:rFonts w:hint="eastAsia" w:ascii="宋体" w:hAnsi="宋体"/>
          <w:color w:val="auto"/>
          <w:sz w:val="24"/>
          <w:highlight w:val="none"/>
        </w:rPr>
        <w:t>、投标人的企业实力及资质等方面进行综合评审，对实质上响应招标文件的投标人，由各评委独立记名打分。经统计，得出各投标人的综合得分,按综合得分由高到低顺序排列。若</w:t>
      </w:r>
      <w:r>
        <w:rPr>
          <w:rFonts w:hint="eastAsia" w:ascii="宋体" w:hAnsi="宋体"/>
          <w:color w:val="auto"/>
          <w:sz w:val="24"/>
          <w:highlight w:val="none"/>
          <w:lang w:val="zh-CN"/>
        </w:rPr>
        <w:t>综合得分相同</w:t>
      </w:r>
      <w:r>
        <w:rPr>
          <w:rFonts w:hint="eastAsia" w:ascii="宋体" w:hAnsi="宋体"/>
          <w:color w:val="auto"/>
          <w:sz w:val="24"/>
          <w:highlight w:val="none"/>
        </w:rPr>
        <w:t>的，按投标报价由低到高顺序排列。若</w:t>
      </w:r>
      <w:r>
        <w:rPr>
          <w:rFonts w:hint="eastAsia" w:ascii="宋体" w:hAnsi="宋体"/>
          <w:color w:val="auto"/>
          <w:sz w:val="24"/>
          <w:highlight w:val="none"/>
          <w:lang w:val="zh-CN"/>
        </w:rPr>
        <w:t>综合得分且投标报价相同的，货物类采购项目以技术性能得分较高者为先，服务类采购项目以实力信誉及业绩得分较高者为先</w:t>
      </w:r>
      <w:r>
        <w:rPr>
          <w:rFonts w:hint="eastAsia" w:ascii="宋体" w:hAnsi="宋体"/>
          <w:color w:val="auto"/>
          <w:sz w:val="24"/>
          <w:highlight w:val="none"/>
        </w:rPr>
        <w:t xml:space="preserve">。 </w:t>
      </w:r>
    </w:p>
    <w:p>
      <w:pPr>
        <w:autoSpaceDE w:val="0"/>
        <w:autoSpaceDN w:val="0"/>
        <w:adjustRightIn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各投标人的综合得分为：投标报价得分＋商务与技术得分之和，总分为100分，其中：投标报价分</w:t>
      </w:r>
      <w:r>
        <w:rPr>
          <w:rFonts w:hint="eastAsia" w:ascii="宋体" w:hAnsi="宋体"/>
          <w:color w:val="auto"/>
          <w:sz w:val="24"/>
          <w:highlight w:val="none"/>
          <w:lang w:val="en-US" w:eastAsia="zh-CN"/>
        </w:rPr>
        <w:t>25</w:t>
      </w:r>
      <w:r>
        <w:rPr>
          <w:rFonts w:hint="eastAsia" w:ascii="宋体" w:hAnsi="宋体"/>
          <w:color w:val="auto"/>
          <w:sz w:val="24"/>
          <w:highlight w:val="none"/>
        </w:rPr>
        <w:t>分，商务与技术分</w:t>
      </w:r>
      <w:r>
        <w:rPr>
          <w:rFonts w:hint="eastAsia" w:ascii="宋体" w:hAnsi="宋体"/>
          <w:color w:val="auto"/>
          <w:sz w:val="24"/>
          <w:highlight w:val="none"/>
          <w:lang w:val="en-US" w:eastAsia="zh-CN"/>
        </w:rPr>
        <w:t>75</w:t>
      </w:r>
      <w:r>
        <w:rPr>
          <w:rFonts w:hint="eastAsia" w:ascii="宋体" w:hAnsi="宋体"/>
          <w:color w:val="auto"/>
          <w:sz w:val="24"/>
          <w:highlight w:val="none"/>
        </w:rPr>
        <w:t>分。</w:t>
      </w:r>
    </w:p>
    <w:p>
      <w:pPr>
        <w:autoSpaceDE w:val="0"/>
        <w:autoSpaceDN w:val="0"/>
        <w:adjustRightIn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（一）报价分（</w:t>
      </w:r>
      <w:r>
        <w:rPr>
          <w:rFonts w:hint="eastAsia" w:ascii="宋体" w:hAnsi="宋体"/>
          <w:b/>
          <w:bCs/>
          <w:color w:val="auto"/>
          <w:sz w:val="24"/>
          <w:highlight w:val="none"/>
          <w:lang w:val="en-US" w:eastAsia="zh-CN"/>
        </w:rPr>
        <w:t>25</w:t>
      </w:r>
      <w:r>
        <w:rPr>
          <w:rFonts w:hint="eastAsia" w:ascii="宋体" w:hAnsi="宋体"/>
          <w:b/>
          <w:bCs/>
          <w:color w:val="auto"/>
          <w:sz w:val="24"/>
          <w:highlight w:val="none"/>
        </w:rPr>
        <w:t>分）</w:t>
      </w:r>
    </w:p>
    <w:p>
      <w:pPr>
        <w:snapToGrid w:val="0"/>
        <w:spacing w:line="440" w:lineRule="exact"/>
        <w:ind w:firstLine="480"/>
        <w:rPr>
          <w:rFonts w:ascii="宋体" w:hAnsi="宋体"/>
          <w:bCs/>
          <w:color w:val="auto"/>
          <w:sz w:val="24"/>
          <w:highlight w:val="none"/>
          <w:lang w:val="zh-CN"/>
        </w:rPr>
      </w:pPr>
      <w:r>
        <w:rPr>
          <w:rFonts w:hint="eastAsia" w:ascii="宋体" w:hAnsi="宋体"/>
          <w:bCs/>
          <w:color w:val="auto"/>
          <w:sz w:val="24"/>
          <w:highlight w:val="none"/>
          <w:lang w:val="zh-CN"/>
        </w:rPr>
        <w:t>投标报价得分采用低价优先法计算，即满足招标文件要求且投标价格最低的投标报价为评标基准价，其报价得满分。其他投标人的投标报价得分按下列公式计算：</w:t>
      </w:r>
    </w:p>
    <w:p>
      <w:pPr>
        <w:snapToGrid w:val="0"/>
        <w:spacing w:line="440" w:lineRule="exact"/>
        <w:ind w:firstLine="480"/>
        <w:rPr>
          <w:rFonts w:ascii="宋体" w:hAnsi="宋体"/>
          <w:bCs/>
          <w:color w:val="auto"/>
          <w:sz w:val="24"/>
          <w:highlight w:val="none"/>
          <w:lang w:val="zh-CN"/>
        </w:rPr>
      </w:pPr>
      <w:r>
        <w:rPr>
          <w:rFonts w:hint="eastAsia" w:ascii="宋体" w:hAnsi="宋体"/>
          <w:bCs/>
          <w:color w:val="auto"/>
          <w:sz w:val="24"/>
          <w:highlight w:val="none"/>
          <w:u w:val="single"/>
          <w:lang w:val="zh-CN"/>
        </w:rPr>
        <w:t>投标报价得分</w:t>
      </w:r>
      <w:r>
        <w:rPr>
          <w:rFonts w:ascii="宋体" w:hAnsi="宋体"/>
          <w:bCs/>
          <w:color w:val="auto"/>
          <w:sz w:val="24"/>
          <w:highlight w:val="none"/>
          <w:u w:val="single"/>
          <w:lang w:val="zh-CN"/>
        </w:rPr>
        <w:t>=</w:t>
      </w:r>
      <w:r>
        <w:rPr>
          <w:rFonts w:hint="eastAsia" w:ascii="宋体" w:hAnsi="宋体"/>
          <w:bCs/>
          <w:color w:val="auto"/>
          <w:sz w:val="24"/>
          <w:highlight w:val="none"/>
          <w:u w:val="single"/>
          <w:lang w:val="zh-CN"/>
        </w:rPr>
        <w:t>（评标基准价／投标报价）×</w:t>
      </w:r>
      <w:r>
        <w:rPr>
          <w:rFonts w:hint="eastAsia" w:ascii="宋体" w:hAnsi="宋体"/>
          <w:bCs/>
          <w:color w:val="auto"/>
          <w:sz w:val="24"/>
          <w:highlight w:val="none"/>
          <w:u w:val="single"/>
          <w:lang w:val="en-US" w:eastAsia="zh-CN"/>
        </w:rPr>
        <w:t>25</w:t>
      </w:r>
      <w:r>
        <w:rPr>
          <w:rFonts w:hint="eastAsia" w:ascii="宋体" w:hAnsi="宋体"/>
          <w:bCs/>
          <w:color w:val="auto"/>
          <w:sz w:val="24"/>
          <w:highlight w:val="none"/>
          <w:u w:val="single"/>
          <w:lang w:val="zh-CN"/>
        </w:rPr>
        <w:t>%×100</w:t>
      </w:r>
      <w:r>
        <w:rPr>
          <w:rFonts w:hint="eastAsia" w:ascii="宋体" w:hAnsi="宋体"/>
          <w:bCs/>
          <w:color w:val="auto"/>
          <w:sz w:val="24"/>
          <w:highlight w:val="none"/>
          <w:lang w:val="zh-CN"/>
        </w:rPr>
        <w:t>。</w:t>
      </w:r>
    </w:p>
    <w:p>
      <w:pPr>
        <w:pStyle w:val="11"/>
        <w:spacing w:line="440" w:lineRule="exact"/>
        <w:ind w:firstLine="480" w:firstLineChars="200"/>
        <w:rPr>
          <w:color w:val="auto"/>
          <w:highlight w:val="none"/>
          <w:lang w:val="zh-CN"/>
        </w:rPr>
      </w:pPr>
      <w:r>
        <w:rPr>
          <w:rFonts w:hint="eastAsia"/>
          <w:color w:val="auto"/>
          <w:highlight w:val="none"/>
          <w:lang w:val="zh-CN"/>
        </w:rPr>
        <w:t>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pStyle w:val="11"/>
        <w:spacing w:line="440" w:lineRule="exact"/>
        <w:ind w:firstLine="480" w:firstLineChars="200"/>
        <w:rPr>
          <w:color w:val="auto"/>
          <w:highlight w:val="none"/>
          <w:lang w:val="zh-CN"/>
        </w:rPr>
      </w:pPr>
      <w:r>
        <w:rPr>
          <w:rFonts w:hint="eastAsia"/>
          <w:color w:val="auto"/>
          <w:highlight w:val="none"/>
          <w:lang w:val="zh-CN"/>
        </w:rPr>
        <w:t>具体优惠：对于小型微型企业产品的价格给予6%的扣除，用扣除后的价格计算评标基准价和投标报价。同一投标人（包括联合体），小微企业、监狱企业、残疾人福利性单位价格扣除优惠只享受一次，不得重复享受。</w:t>
      </w:r>
    </w:p>
    <w:p>
      <w:pPr>
        <w:snapToGrid w:val="0"/>
        <w:spacing w:line="440" w:lineRule="exact"/>
        <w:ind w:firstLine="480"/>
        <w:rPr>
          <w:rFonts w:hAnsi="宋体"/>
          <w:b/>
          <w:bCs/>
          <w:color w:val="auto"/>
          <w:sz w:val="24"/>
          <w:highlight w:val="none"/>
        </w:rPr>
      </w:pPr>
      <w:r>
        <w:rPr>
          <w:rFonts w:hint="eastAsia" w:ascii="宋体"/>
          <w:b/>
          <w:bCs/>
          <w:color w:val="auto"/>
          <w:sz w:val="24"/>
          <w:highlight w:val="none"/>
          <w:lang w:val="zh-CN"/>
        </w:rPr>
        <w:t>注：报价得分以系统计算为准，保留2位小数</w:t>
      </w:r>
      <w:r>
        <w:rPr>
          <w:rFonts w:hint="eastAsia" w:ascii="宋体" w:hAnsi="宋体"/>
          <w:b/>
          <w:bCs/>
          <w:color w:val="auto"/>
          <w:sz w:val="24"/>
          <w:highlight w:val="none"/>
          <w:lang w:val="zh-CN"/>
        </w:rPr>
        <w:t>，由代理单位当场统一计算</w:t>
      </w:r>
      <w:r>
        <w:rPr>
          <w:rFonts w:hint="eastAsia" w:ascii="宋体"/>
          <w:b/>
          <w:bCs/>
          <w:color w:val="auto"/>
          <w:sz w:val="24"/>
          <w:highlight w:val="none"/>
          <w:lang w:val="zh-CN"/>
        </w:rPr>
        <w:t>。</w:t>
      </w:r>
    </w:p>
    <w:p>
      <w:pPr>
        <w:spacing w:line="440" w:lineRule="exact"/>
        <w:ind w:firstLine="482" w:firstLineChars="200"/>
        <w:rPr>
          <w:rFonts w:ascii="宋体" w:hAnsi="宋体"/>
          <w:b/>
          <w:color w:val="auto"/>
          <w:sz w:val="24"/>
          <w:highlight w:val="none"/>
        </w:rPr>
      </w:pPr>
      <w:r>
        <w:rPr>
          <w:rFonts w:hint="eastAsia" w:ascii="宋体" w:hAnsi="宋体"/>
          <w:b/>
          <w:bCs/>
          <w:color w:val="auto"/>
          <w:sz w:val="24"/>
          <w:highlight w:val="none"/>
        </w:rPr>
        <w:t>（二）商务与技术</w:t>
      </w:r>
      <w:r>
        <w:rPr>
          <w:rFonts w:hint="eastAsia" w:ascii="宋体" w:hAnsi="宋体"/>
          <w:b/>
          <w:color w:val="auto"/>
          <w:sz w:val="24"/>
          <w:highlight w:val="none"/>
        </w:rPr>
        <w:t>分（</w:t>
      </w:r>
      <w:r>
        <w:rPr>
          <w:rFonts w:hint="eastAsia" w:ascii="宋体" w:hAnsi="宋体"/>
          <w:b/>
          <w:color w:val="auto"/>
          <w:sz w:val="24"/>
          <w:highlight w:val="none"/>
          <w:lang w:val="en-US" w:eastAsia="zh-CN"/>
        </w:rPr>
        <w:t>75</w:t>
      </w:r>
      <w:r>
        <w:rPr>
          <w:rFonts w:hint="eastAsia" w:ascii="宋体" w:hAnsi="宋体"/>
          <w:b/>
          <w:color w:val="auto"/>
          <w:sz w:val="24"/>
          <w:highlight w:val="none"/>
        </w:rPr>
        <w:t>分）</w:t>
      </w:r>
    </w:p>
    <w:p>
      <w:pPr>
        <w:spacing w:line="440" w:lineRule="exact"/>
        <w:ind w:firstLine="480" w:firstLineChars="200"/>
        <w:rPr>
          <w:rFonts w:hAnsi="宋体"/>
          <w:color w:val="auto"/>
          <w:sz w:val="24"/>
          <w:highlight w:val="none"/>
          <w:lang w:val="zh-CN"/>
        </w:rPr>
      </w:pPr>
      <w:r>
        <w:rPr>
          <w:rFonts w:hint="eastAsia" w:hAnsi="宋体"/>
          <w:color w:val="auto"/>
          <w:sz w:val="24"/>
          <w:highlight w:val="none"/>
          <w:lang w:val="zh-CN"/>
        </w:rPr>
        <w:t>商务与技术文件中的客观分由评标委员会讨论后统一打分；其余在规定的分值内单独评定打分。</w:t>
      </w:r>
    </w:p>
    <w:p>
      <w:pPr>
        <w:spacing w:line="440" w:lineRule="exact"/>
        <w:ind w:firstLine="480" w:firstLineChars="200"/>
        <w:rPr>
          <w:rFonts w:ascii="宋体" w:hAnsi="宋体"/>
          <w:color w:val="auto"/>
          <w:sz w:val="24"/>
          <w:highlight w:val="none"/>
          <w:lang w:val="zh-CN"/>
        </w:rPr>
      </w:pPr>
      <w:r>
        <w:rPr>
          <w:rFonts w:hint="eastAsia" w:ascii="宋体" w:hAnsi="宋体"/>
          <w:color w:val="auto"/>
          <w:sz w:val="24"/>
          <w:highlight w:val="none"/>
          <w:lang w:val="zh-CN"/>
        </w:rPr>
        <w:t>各投标人商务与技术文件得分按照评标委员会成员的独立评分结果汇总后的算术平均分计算，计算公式为：</w:t>
      </w:r>
    </w:p>
    <w:p>
      <w:pPr>
        <w:spacing w:line="440" w:lineRule="exact"/>
        <w:rPr>
          <w:rFonts w:ascii="宋体" w:hAnsi="宋体"/>
          <w:color w:val="auto"/>
          <w:sz w:val="24"/>
          <w:highlight w:val="none"/>
          <w:lang w:val="zh-CN"/>
        </w:rPr>
      </w:pPr>
      <w:r>
        <w:rPr>
          <w:rFonts w:hint="eastAsia" w:ascii="宋体" w:hAnsi="宋体"/>
          <w:color w:val="auto"/>
          <w:sz w:val="24"/>
          <w:highlight w:val="none"/>
        </w:rPr>
        <w:t>商务与技术文件得分</w:t>
      </w:r>
      <w:r>
        <w:rPr>
          <w:rFonts w:hint="eastAsia" w:ascii="宋体" w:hAnsi="宋体"/>
          <w:color w:val="auto"/>
          <w:sz w:val="24"/>
          <w:highlight w:val="none"/>
          <w:lang w:val="zh-CN"/>
        </w:rPr>
        <w:t>=评标委员会所有成员评分合计数/评标委员会组成人员数。</w:t>
      </w:r>
    </w:p>
    <w:p>
      <w:pPr>
        <w:spacing w:line="440" w:lineRule="exact"/>
        <w:rPr>
          <w:rFonts w:ascii="宋体"/>
          <w:b/>
          <w:bCs/>
          <w:color w:val="auto"/>
          <w:sz w:val="24"/>
          <w:highlight w:val="none"/>
          <w:lang w:val="zh-CN"/>
        </w:rPr>
      </w:pPr>
      <w:r>
        <w:rPr>
          <w:rFonts w:hint="eastAsia" w:ascii="宋体"/>
          <w:b/>
          <w:bCs/>
          <w:color w:val="auto"/>
          <w:sz w:val="24"/>
          <w:highlight w:val="none"/>
          <w:lang w:val="zh-CN"/>
        </w:rPr>
        <w:t>商务与技术文件具体分值细化条款如下表：</w:t>
      </w:r>
    </w:p>
    <w:tbl>
      <w:tblPr>
        <w:tblStyle w:val="22"/>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34"/>
        <w:gridCol w:w="2650"/>
        <w:gridCol w:w="1149"/>
        <w:gridCol w:w="1159"/>
        <w:gridCol w:w="883"/>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59"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2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评分项目</w:t>
            </w:r>
          </w:p>
        </w:tc>
        <w:tc>
          <w:tcPr>
            <w:tcW w:w="584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2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  分  标  准  及  细  则</w:t>
            </w:r>
          </w:p>
        </w:tc>
        <w:tc>
          <w:tcPr>
            <w:tcW w:w="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2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7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供应商总体情况</w:t>
            </w:r>
          </w:p>
        </w:tc>
        <w:tc>
          <w:tcPr>
            <w:tcW w:w="584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供应商具有信息安全管理体系符合标准证书ISO270001（认证范围：计算机信息系统集成，应用软件开发与运维服务相关的信息安全管理活动）的，得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分，具有ISO20000-1信息技术服务管理体系认证体系的，得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p>
          <w:p>
            <w:pPr>
              <w:widowControl w:val="0"/>
              <w:jc w:val="both"/>
              <w:outlineLvl w:val="0"/>
              <w:rPr>
                <w:rFonts w:hint="eastAsia"/>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t>注：</w:t>
            </w:r>
            <w:r>
              <w:rPr>
                <w:rFonts w:hint="eastAsia" w:asciiTheme="minorEastAsia" w:hAnsiTheme="minorEastAsia" w:eastAsiaTheme="minorEastAsia" w:cstheme="minorEastAsia"/>
                <w:b/>
                <w:bCs/>
                <w:color w:val="auto"/>
                <w:sz w:val="18"/>
                <w:szCs w:val="18"/>
                <w:highlight w:val="none"/>
              </w:rPr>
              <w:t>以上证明材料</w:t>
            </w:r>
            <w:r>
              <w:rPr>
                <w:rFonts w:hint="eastAsia" w:asciiTheme="minorEastAsia" w:hAnsiTheme="minorEastAsia" w:eastAsiaTheme="minorEastAsia" w:cstheme="minorEastAsia"/>
                <w:b/>
                <w:bCs/>
                <w:color w:val="auto"/>
                <w:sz w:val="18"/>
                <w:szCs w:val="18"/>
                <w:highlight w:val="none"/>
                <w:lang w:eastAsia="zh-CN"/>
              </w:rPr>
              <w:t>需提供相关证书原件的扫描件，未提供的，本项不得分。</w:t>
            </w:r>
          </w:p>
        </w:tc>
        <w:tc>
          <w:tcPr>
            <w:tcW w:w="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0-</w:t>
            </w:r>
            <w:r>
              <w:rPr>
                <w:rFonts w:hint="eastAsia" w:asciiTheme="minorEastAsia" w:hAnsiTheme="minorEastAsia" w:eastAsiaTheme="minorEastAsia" w:cstheme="minorEastAsia"/>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72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rPr>
            </w:pPr>
          </w:p>
        </w:tc>
        <w:tc>
          <w:tcPr>
            <w:tcW w:w="5841" w:type="dxa"/>
            <w:gridSpan w:val="4"/>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①投标人具有ITSS信息技术服务运行维护标准符合性证书，得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p>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②具有有效的软件企业认证证书和CMMI五级及以上认证证书的，得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p>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rPr>
              <w:t>注：以上证明材料需提供相关证书原件的扫描件，未提供的，本项不得分。</w:t>
            </w:r>
          </w:p>
        </w:tc>
        <w:tc>
          <w:tcPr>
            <w:tcW w:w="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0-</w:t>
            </w:r>
            <w:r>
              <w:rPr>
                <w:rFonts w:hint="eastAsia" w:asciiTheme="minorEastAsia" w:hAnsiTheme="minorEastAsia" w:eastAsiaTheme="minorEastAsia" w:cstheme="minorEastAsia"/>
                <w:color w:val="auto"/>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72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供应商业绩</w:t>
            </w:r>
          </w:p>
        </w:tc>
        <w:tc>
          <w:tcPr>
            <w:tcW w:w="584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供应商自2016年1月1日以来</w:t>
            </w:r>
            <w:r>
              <w:rPr>
                <w:rFonts w:hint="eastAsia" w:asciiTheme="minorEastAsia" w:hAnsiTheme="minorEastAsia" w:eastAsiaTheme="minorEastAsia" w:cstheme="minorEastAsia"/>
                <w:color w:val="auto"/>
                <w:sz w:val="18"/>
                <w:szCs w:val="18"/>
                <w:highlight w:val="none"/>
                <w:lang w:eastAsia="zh-CN"/>
              </w:rPr>
              <w:t>（时间以合同签订的时间为准）</w:t>
            </w:r>
            <w:r>
              <w:rPr>
                <w:rFonts w:hint="eastAsia" w:asciiTheme="minorEastAsia" w:hAnsiTheme="minorEastAsia" w:eastAsiaTheme="minorEastAsia" w:cstheme="minorEastAsia"/>
                <w:color w:val="auto"/>
                <w:sz w:val="18"/>
                <w:szCs w:val="18"/>
                <w:highlight w:val="none"/>
              </w:rPr>
              <w:t>：</w:t>
            </w:r>
          </w:p>
          <w:p>
            <w:pPr>
              <w:pStyle w:val="99"/>
              <w:widowControl w:val="0"/>
              <w:numPr>
                <w:ilvl w:val="0"/>
                <w:numId w:val="0"/>
              </w:numPr>
              <w:ind w:leftChars="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具有水资源标准化管理平台、水资源综合管理平台</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水资源一张图管理平台建设业绩的</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每类得2分，最多得6分</w:t>
            </w:r>
            <w:r>
              <w:rPr>
                <w:rFonts w:hint="eastAsia" w:asciiTheme="minorEastAsia" w:hAnsiTheme="minorEastAsia" w:eastAsiaTheme="minorEastAsia" w:cstheme="minorEastAsia"/>
                <w:color w:val="auto"/>
                <w:sz w:val="18"/>
                <w:szCs w:val="18"/>
                <w:highlight w:val="none"/>
                <w:lang w:eastAsia="zh-CN"/>
              </w:rPr>
              <w:t>。</w:t>
            </w:r>
          </w:p>
          <w:p>
            <w:pPr>
              <w:widowControl w:val="0"/>
              <w:jc w:val="both"/>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rPr>
              <w:t>注：以上证明材料须同时提供合同和中标通知书原件的扫描件，否则不得分</w:t>
            </w:r>
            <w:r>
              <w:rPr>
                <w:rFonts w:hint="eastAsia" w:asciiTheme="minorEastAsia" w:hAnsiTheme="minorEastAsia" w:eastAsiaTheme="minorEastAsia" w:cstheme="minorEastAsia"/>
                <w:b/>
                <w:bCs/>
                <w:color w:val="auto"/>
                <w:sz w:val="18"/>
                <w:szCs w:val="18"/>
                <w:highlight w:val="none"/>
                <w:lang w:eastAsia="zh-CN"/>
              </w:rPr>
              <w:t>。</w:t>
            </w:r>
          </w:p>
        </w:tc>
        <w:tc>
          <w:tcPr>
            <w:tcW w:w="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0-</w:t>
            </w:r>
            <w:r>
              <w:rPr>
                <w:rFonts w:hint="eastAsia" w:asciiTheme="minorEastAsia" w:hAnsiTheme="minorEastAsia" w:eastAsiaTheme="minorEastAsia" w:cstheme="minorEastAsia"/>
                <w:color w:val="auto"/>
                <w:sz w:val="18"/>
                <w:szCs w:val="18"/>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2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4</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企业实力</w:t>
            </w:r>
          </w:p>
        </w:tc>
        <w:tc>
          <w:tcPr>
            <w:tcW w:w="584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9"/>
              <w:widowControl w:val="0"/>
              <w:numPr>
                <w:ilvl w:val="0"/>
                <w:numId w:val="0"/>
              </w:numPr>
              <w:ind w:leftChars="0"/>
              <w:jc w:val="both"/>
              <w:outlineLvl w:val="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color w:val="auto"/>
                <w:kern w:val="2"/>
                <w:sz w:val="18"/>
                <w:szCs w:val="18"/>
                <w:highlight w:val="none"/>
                <w:lang w:val="en-US" w:eastAsia="zh-CN" w:bidi="ar-SA"/>
              </w:rPr>
              <w:t>供应商具有水资源标准化管理平台、水利分布式采集系统数据通讯服务软件、水利相关管理一张图系统计算机软件著作权登记证书，每个得1分，最多得3分。</w:t>
            </w:r>
          </w:p>
          <w:p>
            <w:pPr>
              <w:pStyle w:val="99"/>
              <w:widowControl w:val="0"/>
              <w:numPr>
                <w:ilvl w:val="0"/>
                <w:numId w:val="0"/>
              </w:numPr>
              <w:ind w:leftChars="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rPr>
              <w:t>注：以上证明材料需提供相关证书原件的扫描件，未提供的，本项不得分。</w:t>
            </w:r>
          </w:p>
        </w:tc>
        <w:tc>
          <w:tcPr>
            <w:tcW w:w="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6" w:hRule="atLeast"/>
          <w:jc w:val="center"/>
        </w:trPr>
        <w:tc>
          <w:tcPr>
            <w:tcW w:w="725"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5</w:t>
            </w:r>
          </w:p>
        </w:tc>
        <w:tc>
          <w:tcPr>
            <w:tcW w:w="113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拟派项目负责人资历情况</w:t>
            </w:r>
          </w:p>
        </w:tc>
        <w:tc>
          <w:tcPr>
            <w:tcW w:w="584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①针对本项目拟派的项目负责人具有水利信息及自动化专业高级及以上专业技术职称的得3分，同时具有注册咨询工程师（水利水电专业）的得1分，最多得4分。</w:t>
            </w:r>
          </w:p>
          <w:p>
            <w:pPr>
              <w:pStyle w:val="21"/>
              <w:ind w:left="0" w:leftChars="0" w:firstLine="0" w:firstLineChars="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注：以上证明材料需提供相关证书原件的扫描件，未提供的不得分。</w:t>
            </w:r>
          </w:p>
          <w:p>
            <w:pPr>
              <w:pStyle w:val="21"/>
              <w:ind w:left="0" w:leftChars="0" w:firstLine="0" w:firstLineChars="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②已主持完成水利信息化技术咨询类、平台建设类项目的，每类得2分，最多得4分。</w:t>
            </w:r>
          </w:p>
          <w:p>
            <w:pPr>
              <w:widowControl w:val="0"/>
              <w:jc w:val="both"/>
              <w:outlineLvl w:val="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注：以上证明材料须同时</w:t>
            </w:r>
            <w:r>
              <w:rPr>
                <w:rFonts w:hint="eastAsia" w:asciiTheme="minorEastAsia" w:hAnsiTheme="minorEastAsia" w:eastAsiaTheme="minorEastAsia" w:cstheme="minorEastAsia"/>
                <w:b/>
                <w:bCs/>
                <w:color w:val="auto"/>
                <w:sz w:val="18"/>
                <w:szCs w:val="18"/>
                <w:highlight w:val="none"/>
                <w:lang w:eastAsia="zh-CN"/>
              </w:rPr>
              <w:t>提供</w:t>
            </w:r>
            <w:r>
              <w:rPr>
                <w:rFonts w:hint="eastAsia" w:asciiTheme="minorEastAsia" w:hAnsiTheme="minorEastAsia" w:eastAsiaTheme="minorEastAsia" w:cstheme="minorEastAsia"/>
                <w:b/>
                <w:bCs/>
                <w:color w:val="auto"/>
                <w:sz w:val="18"/>
                <w:szCs w:val="18"/>
                <w:highlight w:val="none"/>
              </w:rPr>
              <w:t>合同和中标通知书原件的扫描件，否则不得分</w:t>
            </w:r>
            <w:r>
              <w:rPr>
                <w:rFonts w:hint="eastAsia" w:asciiTheme="minorEastAsia" w:hAnsiTheme="minorEastAsia" w:eastAsiaTheme="minorEastAsia" w:cstheme="minorEastAsia"/>
                <w:b/>
                <w:bCs/>
                <w:color w:val="auto"/>
                <w:sz w:val="18"/>
                <w:szCs w:val="18"/>
                <w:highlight w:val="none"/>
                <w:lang w:eastAsia="zh-CN"/>
              </w:rPr>
              <w:t>。</w:t>
            </w:r>
            <w:r>
              <w:rPr>
                <w:rFonts w:hint="eastAsia" w:asciiTheme="minorEastAsia" w:hAnsiTheme="minorEastAsia" w:eastAsiaTheme="minorEastAsia" w:cstheme="minorEastAsia"/>
                <w:b w:val="0"/>
                <w:bCs w:val="0"/>
                <w:color w:val="auto"/>
                <w:sz w:val="18"/>
                <w:szCs w:val="18"/>
                <w:highlight w:val="none"/>
                <w:lang w:eastAsia="zh-CN"/>
              </w:rPr>
              <w:t>（</w:t>
            </w:r>
            <w:r>
              <w:rPr>
                <w:rFonts w:hint="eastAsia" w:asciiTheme="minorEastAsia" w:hAnsiTheme="minorEastAsia" w:eastAsiaTheme="minorEastAsia" w:cstheme="minorEastAsia"/>
                <w:b w:val="0"/>
                <w:bCs w:val="0"/>
                <w:color w:val="auto"/>
                <w:kern w:val="2"/>
                <w:sz w:val="18"/>
                <w:szCs w:val="18"/>
                <w:highlight w:val="none"/>
                <w:lang w:val="en-US" w:eastAsia="zh-CN" w:bidi="ar-SA"/>
              </w:rPr>
              <w:t>如提供的证明材料无法证明为该拟派项目负责人业绩的，还应附业主证明其为该拟派项目负责人业绩的材料原件的扫描件。</w:t>
            </w:r>
            <w:r>
              <w:rPr>
                <w:rFonts w:hint="eastAsia" w:asciiTheme="minorEastAsia" w:hAnsiTheme="minorEastAsia" w:eastAsiaTheme="minorEastAsia" w:cstheme="minorEastAsia"/>
                <w:b w:val="0"/>
                <w:bCs w:val="0"/>
                <w:color w:val="auto"/>
                <w:sz w:val="18"/>
                <w:szCs w:val="18"/>
                <w:highlight w:val="none"/>
                <w:lang w:eastAsia="zh-CN"/>
              </w:rPr>
              <w:t>）</w:t>
            </w:r>
          </w:p>
        </w:tc>
        <w:tc>
          <w:tcPr>
            <w:tcW w:w="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0-</w:t>
            </w:r>
            <w:r>
              <w:rPr>
                <w:rFonts w:hint="eastAsia" w:asciiTheme="minorEastAsia" w:hAnsiTheme="minorEastAsia" w:eastAsiaTheme="minorEastAsia" w:cstheme="minorEastAsia"/>
                <w:color w:val="auto"/>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25" w:type="dxa"/>
            <w:vMerge w:val="restart"/>
            <w:tcBorders>
              <w:top w:val="single" w:color="000000" w:sz="8" w:space="0"/>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6</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本项目拟投入技术负责人</w:t>
            </w:r>
            <w:r>
              <w:rPr>
                <w:rFonts w:hint="eastAsia" w:asciiTheme="minorEastAsia" w:hAnsiTheme="minorEastAsia" w:eastAsiaTheme="minorEastAsia" w:cstheme="minorEastAsia"/>
                <w:color w:val="auto"/>
                <w:sz w:val="18"/>
                <w:szCs w:val="18"/>
                <w:highlight w:val="none"/>
                <w:lang w:eastAsia="zh-CN"/>
              </w:rPr>
              <w:t>和</w:t>
            </w:r>
            <w:r>
              <w:rPr>
                <w:rFonts w:hint="eastAsia" w:asciiTheme="minorEastAsia" w:hAnsiTheme="minorEastAsia" w:eastAsiaTheme="minorEastAsia" w:cstheme="minorEastAsia"/>
                <w:color w:val="auto"/>
                <w:sz w:val="18"/>
                <w:szCs w:val="18"/>
                <w:highlight w:val="none"/>
              </w:rPr>
              <w:t>技术人员</w:t>
            </w:r>
          </w:p>
        </w:tc>
        <w:tc>
          <w:tcPr>
            <w:tcW w:w="584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①技术负责人具有</w:t>
            </w:r>
            <w:r>
              <w:rPr>
                <w:rFonts w:hint="eastAsia" w:asciiTheme="minorEastAsia" w:hAnsiTheme="minorEastAsia" w:eastAsiaTheme="minorEastAsia" w:cstheme="minorEastAsia"/>
                <w:color w:val="auto"/>
                <w:sz w:val="18"/>
                <w:szCs w:val="18"/>
                <w:highlight w:val="none"/>
                <w:lang w:eastAsia="zh-CN"/>
              </w:rPr>
              <w:t>水利类</w:t>
            </w:r>
            <w:r>
              <w:rPr>
                <w:rFonts w:hint="eastAsia" w:asciiTheme="minorEastAsia" w:hAnsiTheme="minorEastAsia" w:eastAsiaTheme="minorEastAsia" w:cstheme="minorEastAsia"/>
                <w:color w:val="auto"/>
                <w:sz w:val="18"/>
                <w:szCs w:val="18"/>
                <w:highlight w:val="none"/>
              </w:rPr>
              <w:t>专业高级及以上专业技术职称的，得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r>
              <w:rPr>
                <w:rFonts w:hint="eastAsia" w:asciiTheme="minorEastAsia" w:hAnsiTheme="minorEastAsia" w:eastAsiaTheme="minorEastAsia" w:cstheme="minorEastAsia"/>
                <w:color w:val="auto"/>
                <w:sz w:val="18"/>
                <w:szCs w:val="18"/>
                <w:highlight w:val="none"/>
                <w:lang w:eastAsia="zh-CN"/>
              </w:rPr>
              <w:t>水利类</w:t>
            </w:r>
            <w:r>
              <w:rPr>
                <w:rFonts w:hint="eastAsia" w:asciiTheme="minorEastAsia" w:hAnsiTheme="minorEastAsia" w:eastAsiaTheme="minorEastAsia" w:cstheme="minorEastAsia"/>
                <w:color w:val="auto"/>
                <w:sz w:val="18"/>
                <w:szCs w:val="18"/>
                <w:highlight w:val="none"/>
              </w:rPr>
              <w:t>专业中级职称的，得1分；</w:t>
            </w:r>
            <w:r>
              <w:rPr>
                <w:rFonts w:hint="eastAsia" w:asciiTheme="minorEastAsia" w:hAnsiTheme="minorEastAsia" w:eastAsiaTheme="minorEastAsia" w:cstheme="minorEastAsia"/>
                <w:color w:val="auto"/>
                <w:sz w:val="18"/>
                <w:szCs w:val="18"/>
                <w:highlight w:val="none"/>
                <w:lang w:eastAsia="zh-CN"/>
              </w:rPr>
              <w:t>其他</w:t>
            </w:r>
            <w:r>
              <w:rPr>
                <w:rFonts w:hint="eastAsia" w:asciiTheme="minorEastAsia" w:hAnsiTheme="minorEastAsia" w:eastAsiaTheme="minorEastAsia" w:cstheme="minorEastAsia"/>
                <w:color w:val="auto"/>
                <w:sz w:val="18"/>
                <w:szCs w:val="18"/>
                <w:highlight w:val="none"/>
              </w:rPr>
              <w:t>不得分。</w:t>
            </w:r>
          </w:p>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rPr>
              <w:t>注：以上证明材料需提供相关证书原件的扫描件，未提供的不得分。</w:t>
            </w:r>
          </w:p>
        </w:tc>
        <w:tc>
          <w:tcPr>
            <w:tcW w:w="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0-</w:t>
            </w:r>
            <w:r>
              <w:rPr>
                <w:rFonts w:hint="eastAsia" w:asciiTheme="minorEastAsia" w:hAnsiTheme="minorEastAsia" w:eastAsiaTheme="minorEastAsia" w:cstheme="minorEastAsia"/>
                <w:color w:val="auto"/>
                <w:sz w:val="18"/>
                <w:szCs w:val="1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5" w:type="dxa"/>
            <w:vMerge w:val="continue"/>
            <w:tcBorders>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rPr>
            </w:pPr>
          </w:p>
        </w:tc>
        <w:tc>
          <w:tcPr>
            <w:tcW w:w="5841"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②针对本项目组织的项目团队成员（项目负责人和技术负责人除外）中，具有地理信息工程、通信工程、水文水资源、软件工程、计算机科学与技术、遥感相关专业的，每类得0.5分，最多得3分</w:t>
            </w:r>
            <w:r>
              <w:rPr>
                <w:rFonts w:hint="eastAsia" w:asciiTheme="minorEastAsia" w:hAnsiTheme="minorEastAsia" w:eastAsiaTheme="minorEastAsia" w:cstheme="minorEastAsia"/>
                <w:color w:val="auto"/>
                <w:sz w:val="18"/>
                <w:szCs w:val="18"/>
                <w:highlight w:val="none"/>
                <w:lang w:eastAsia="zh-CN"/>
              </w:rPr>
              <w:t>。</w:t>
            </w:r>
          </w:p>
          <w:p>
            <w:pPr>
              <w:widowControl w:val="0"/>
              <w:jc w:val="both"/>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rPr>
              <w:t>注：需提供以上所列人员的职称、资格证以及投标截止时间前近三个月的社保缴纳证明</w:t>
            </w:r>
            <w:r>
              <w:rPr>
                <w:rFonts w:hint="eastAsia" w:asciiTheme="minorEastAsia" w:hAnsiTheme="minorEastAsia" w:eastAsiaTheme="minorEastAsia" w:cstheme="minorEastAsia"/>
                <w:b/>
                <w:bCs/>
                <w:color w:val="auto"/>
                <w:sz w:val="18"/>
                <w:szCs w:val="18"/>
                <w:highlight w:val="none"/>
                <w:lang w:eastAsia="zh-CN"/>
              </w:rPr>
              <w:t>。以上证明材料需提供原件的扫描件，未提供的不得分。</w:t>
            </w:r>
          </w:p>
        </w:tc>
        <w:tc>
          <w:tcPr>
            <w:tcW w:w="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0-</w:t>
            </w:r>
            <w:r>
              <w:rPr>
                <w:rFonts w:hint="eastAsia" w:asciiTheme="minorEastAsia" w:hAnsiTheme="minorEastAsia" w:eastAsiaTheme="minorEastAsia" w:cstheme="minorEastAsia"/>
                <w:color w:val="auto"/>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5" w:type="dxa"/>
            <w:vMerge w:val="restart"/>
            <w:tcBorders>
              <w:top w:val="single" w:color="000000" w:sz="8" w:space="0"/>
              <w:left w:val="single" w:color="000000" w:sz="8" w:space="0"/>
              <w:right w:val="single" w:color="000000" w:sz="8" w:space="0"/>
            </w:tcBorders>
            <w:vAlign w:val="center"/>
          </w:tcPr>
          <w:p>
            <w:pPr>
              <w:jc w:val="center"/>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7</w:t>
            </w:r>
          </w:p>
        </w:tc>
        <w:tc>
          <w:tcPr>
            <w:tcW w:w="1134" w:type="dxa"/>
            <w:vMerge w:val="restart"/>
            <w:tcBorders>
              <w:top w:val="single" w:color="000000" w:sz="8" w:space="0"/>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eastAsia="zh-CN"/>
              </w:rPr>
              <w:t>实施方案</w:t>
            </w:r>
          </w:p>
        </w:tc>
        <w:tc>
          <w:tcPr>
            <w:tcW w:w="26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jc w:val="both"/>
              <w:outlineLvl w:val="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lang w:eastAsia="zh-CN"/>
              </w:rPr>
              <w:t>内容</w:t>
            </w:r>
          </w:p>
        </w:tc>
        <w:tc>
          <w:tcPr>
            <w:tcW w:w="114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t>优秀</w:t>
            </w:r>
          </w:p>
        </w:tc>
        <w:tc>
          <w:tcPr>
            <w:tcW w:w="115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t>较好</w:t>
            </w:r>
          </w:p>
        </w:tc>
        <w:tc>
          <w:tcPr>
            <w:tcW w:w="883"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t>一般</w:t>
            </w:r>
          </w:p>
        </w:tc>
        <w:tc>
          <w:tcPr>
            <w:tcW w:w="931"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lang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5" w:type="dxa"/>
            <w:vMerge w:val="continue"/>
            <w:tcBorders>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p>
        </w:tc>
        <w:tc>
          <w:tcPr>
            <w:tcW w:w="1134" w:type="dxa"/>
            <w:vMerge w:val="continue"/>
            <w:tcBorders>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eastAsia="zh-CN"/>
              </w:rPr>
            </w:pPr>
          </w:p>
        </w:tc>
        <w:tc>
          <w:tcPr>
            <w:tcW w:w="26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jc w:val="both"/>
              <w:outlineLvl w:val="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color w:val="auto"/>
                <w:sz w:val="18"/>
                <w:szCs w:val="18"/>
                <w:highlight w:val="none"/>
              </w:rPr>
              <w:t>结合本项目实际需求出具总体设计方案</w:t>
            </w:r>
          </w:p>
        </w:tc>
        <w:tc>
          <w:tcPr>
            <w:tcW w:w="114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16-12.0</w:t>
            </w:r>
          </w:p>
        </w:tc>
        <w:tc>
          <w:tcPr>
            <w:tcW w:w="115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11.9-8.0</w:t>
            </w:r>
          </w:p>
        </w:tc>
        <w:tc>
          <w:tcPr>
            <w:tcW w:w="883"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7.9-4.0</w:t>
            </w:r>
          </w:p>
        </w:tc>
        <w:tc>
          <w:tcPr>
            <w:tcW w:w="931"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5" w:type="dxa"/>
            <w:vMerge w:val="continue"/>
            <w:tcBorders>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p>
        </w:tc>
        <w:tc>
          <w:tcPr>
            <w:tcW w:w="1134" w:type="dxa"/>
            <w:vMerge w:val="continue"/>
            <w:tcBorders>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eastAsia="zh-CN"/>
              </w:rPr>
            </w:pPr>
          </w:p>
        </w:tc>
        <w:tc>
          <w:tcPr>
            <w:tcW w:w="26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jc w:val="both"/>
              <w:outlineLvl w:val="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color w:val="auto"/>
                <w:sz w:val="18"/>
                <w:szCs w:val="18"/>
                <w:highlight w:val="none"/>
              </w:rPr>
              <w:t>对本项目</w:t>
            </w:r>
            <w:r>
              <w:rPr>
                <w:rFonts w:hint="eastAsia" w:asciiTheme="minorEastAsia" w:hAnsiTheme="minorEastAsia" w:eastAsiaTheme="minorEastAsia" w:cstheme="minorEastAsia"/>
                <w:color w:val="auto"/>
                <w:sz w:val="18"/>
                <w:szCs w:val="18"/>
                <w:highlight w:val="none"/>
                <w:lang w:eastAsia="zh-CN"/>
              </w:rPr>
              <w:t>的</w:t>
            </w:r>
            <w:r>
              <w:rPr>
                <w:rFonts w:hint="eastAsia" w:asciiTheme="minorEastAsia" w:hAnsiTheme="minorEastAsia" w:eastAsiaTheme="minorEastAsia" w:cstheme="minorEastAsia"/>
                <w:color w:val="auto"/>
                <w:sz w:val="18"/>
                <w:szCs w:val="18"/>
                <w:highlight w:val="none"/>
              </w:rPr>
              <w:t>功能需求</w:t>
            </w:r>
            <w:r>
              <w:rPr>
                <w:rFonts w:hint="eastAsia" w:asciiTheme="minorEastAsia" w:hAnsiTheme="minorEastAsia" w:eastAsiaTheme="minorEastAsia" w:cstheme="minorEastAsia"/>
                <w:color w:val="auto"/>
                <w:sz w:val="18"/>
                <w:szCs w:val="18"/>
                <w:highlight w:val="none"/>
                <w:lang w:eastAsia="zh-CN"/>
              </w:rPr>
              <w:t>分析剖析，</w:t>
            </w:r>
            <w:r>
              <w:rPr>
                <w:rFonts w:hint="eastAsia" w:asciiTheme="minorEastAsia" w:hAnsiTheme="minorEastAsia" w:eastAsiaTheme="minorEastAsia" w:cstheme="minorEastAsia"/>
                <w:color w:val="auto"/>
                <w:sz w:val="18"/>
                <w:szCs w:val="18"/>
                <w:highlight w:val="none"/>
              </w:rPr>
              <w:t>重点、难点的分析及解决思路</w:t>
            </w:r>
          </w:p>
        </w:tc>
        <w:tc>
          <w:tcPr>
            <w:tcW w:w="114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8-6.0</w:t>
            </w:r>
          </w:p>
        </w:tc>
        <w:tc>
          <w:tcPr>
            <w:tcW w:w="115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5.9-4.0</w:t>
            </w:r>
          </w:p>
        </w:tc>
        <w:tc>
          <w:tcPr>
            <w:tcW w:w="883"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3.9-2.0</w:t>
            </w:r>
          </w:p>
        </w:tc>
        <w:tc>
          <w:tcPr>
            <w:tcW w:w="931"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5" w:type="dxa"/>
            <w:vMerge w:val="continue"/>
            <w:tcBorders>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p>
        </w:tc>
        <w:tc>
          <w:tcPr>
            <w:tcW w:w="1134" w:type="dxa"/>
            <w:vMerge w:val="continue"/>
            <w:tcBorders>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eastAsia="zh-CN"/>
              </w:rPr>
            </w:pPr>
          </w:p>
        </w:tc>
        <w:tc>
          <w:tcPr>
            <w:tcW w:w="26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jc w:val="both"/>
              <w:outlineLvl w:val="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color w:val="auto"/>
                <w:sz w:val="18"/>
                <w:szCs w:val="18"/>
                <w:highlight w:val="none"/>
              </w:rPr>
              <w:t>质量保证及进度计划</w:t>
            </w:r>
          </w:p>
        </w:tc>
        <w:tc>
          <w:tcPr>
            <w:tcW w:w="114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8-6.0</w:t>
            </w:r>
          </w:p>
        </w:tc>
        <w:tc>
          <w:tcPr>
            <w:tcW w:w="115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5.9-4.0</w:t>
            </w:r>
          </w:p>
        </w:tc>
        <w:tc>
          <w:tcPr>
            <w:tcW w:w="883"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3.9-2.0</w:t>
            </w:r>
          </w:p>
        </w:tc>
        <w:tc>
          <w:tcPr>
            <w:tcW w:w="931"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25" w:type="dxa"/>
            <w:vMerge w:val="continue"/>
            <w:tcBorders>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p>
        </w:tc>
        <w:tc>
          <w:tcPr>
            <w:tcW w:w="1134" w:type="dxa"/>
            <w:vMerge w:val="continue"/>
            <w:tcBorders>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eastAsia="zh-CN"/>
              </w:rPr>
            </w:pPr>
          </w:p>
        </w:tc>
        <w:tc>
          <w:tcPr>
            <w:tcW w:w="26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jc w:val="both"/>
              <w:outlineLvl w:val="0"/>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lang w:eastAsia="zh-CN"/>
              </w:rPr>
              <w:t>与</w:t>
            </w:r>
            <w:r>
              <w:rPr>
                <w:rFonts w:hint="eastAsia" w:asciiTheme="minorEastAsia" w:hAnsiTheme="minorEastAsia" w:eastAsiaTheme="minorEastAsia" w:cstheme="minorEastAsia"/>
                <w:color w:val="auto"/>
                <w:sz w:val="18"/>
                <w:szCs w:val="18"/>
                <w:highlight w:val="none"/>
              </w:rPr>
              <w:t>省水资源管理系统</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浙江省水土保持信息管理系统</w:t>
            </w:r>
            <w:r>
              <w:rPr>
                <w:rFonts w:hint="eastAsia" w:asciiTheme="minorEastAsia" w:hAnsiTheme="minorEastAsia" w:eastAsiaTheme="minorEastAsia" w:cstheme="minorEastAsia"/>
                <w:color w:val="auto"/>
                <w:sz w:val="18"/>
                <w:szCs w:val="18"/>
                <w:highlight w:val="none"/>
                <w:lang w:eastAsia="zh-CN"/>
              </w:rPr>
              <w:t>以及</w:t>
            </w:r>
            <w:r>
              <w:rPr>
                <w:rFonts w:hint="eastAsia" w:asciiTheme="minorEastAsia" w:hAnsiTheme="minorEastAsia" w:eastAsiaTheme="minorEastAsia" w:cstheme="minorEastAsia"/>
                <w:color w:val="auto"/>
                <w:sz w:val="18"/>
                <w:szCs w:val="18"/>
                <w:highlight w:val="none"/>
              </w:rPr>
              <w:t>玉环市水利数据中心系统</w:t>
            </w:r>
            <w:r>
              <w:rPr>
                <w:rFonts w:hint="eastAsia" w:asciiTheme="minorEastAsia" w:hAnsiTheme="minorEastAsia" w:eastAsiaTheme="minorEastAsia" w:cstheme="minorEastAsia"/>
                <w:color w:val="auto"/>
                <w:sz w:val="18"/>
                <w:szCs w:val="18"/>
                <w:highlight w:val="none"/>
                <w:lang w:eastAsia="zh-CN"/>
              </w:rPr>
              <w:t>的数据</w:t>
            </w:r>
            <w:r>
              <w:rPr>
                <w:rFonts w:hint="eastAsia" w:asciiTheme="minorEastAsia" w:hAnsiTheme="minorEastAsia" w:eastAsiaTheme="minorEastAsia" w:cstheme="minorEastAsia"/>
                <w:color w:val="auto"/>
                <w:sz w:val="18"/>
                <w:szCs w:val="18"/>
                <w:highlight w:val="none"/>
              </w:rPr>
              <w:t>对接</w:t>
            </w:r>
            <w:r>
              <w:rPr>
                <w:rFonts w:hint="eastAsia" w:asciiTheme="minorEastAsia" w:hAnsiTheme="minorEastAsia" w:eastAsiaTheme="minorEastAsia" w:cstheme="minorEastAsia"/>
                <w:color w:val="auto"/>
                <w:sz w:val="18"/>
                <w:szCs w:val="18"/>
                <w:highlight w:val="none"/>
                <w:lang w:eastAsia="zh-CN"/>
              </w:rPr>
              <w:t>方案的合理性</w:t>
            </w:r>
          </w:p>
        </w:tc>
        <w:tc>
          <w:tcPr>
            <w:tcW w:w="114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6-4.5</w:t>
            </w:r>
          </w:p>
        </w:tc>
        <w:tc>
          <w:tcPr>
            <w:tcW w:w="115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4.4-3.0</w:t>
            </w:r>
          </w:p>
        </w:tc>
        <w:tc>
          <w:tcPr>
            <w:tcW w:w="883"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2.9-1.5</w:t>
            </w:r>
          </w:p>
        </w:tc>
        <w:tc>
          <w:tcPr>
            <w:tcW w:w="931"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5" w:type="dxa"/>
            <w:vMerge w:val="continue"/>
            <w:tcBorders>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p>
        </w:tc>
        <w:tc>
          <w:tcPr>
            <w:tcW w:w="1134" w:type="dxa"/>
            <w:vMerge w:val="continue"/>
            <w:tcBorders>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eastAsia="zh-CN"/>
              </w:rPr>
            </w:pPr>
          </w:p>
        </w:tc>
        <w:tc>
          <w:tcPr>
            <w:tcW w:w="26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jc w:val="both"/>
              <w:outlineLvl w:val="0"/>
              <w:rPr>
                <w:rFonts w:hint="eastAsia" w:asciiTheme="minorEastAsia" w:hAnsiTheme="minorEastAsia" w:eastAsiaTheme="minorEastAsia" w:cstheme="minorEastAsia"/>
                <w:b/>
                <w:bCs/>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根据投标人售后服务承诺的可行性、完整性以及服务承诺落实的保障措施，维护期内外的后续技术支持、维护能力情况及服务承诺</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培训方案的完整性</w:t>
            </w:r>
          </w:p>
        </w:tc>
        <w:tc>
          <w:tcPr>
            <w:tcW w:w="114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default" w:asciiTheme="minorEastAsia" w:hAnsiTheme="minorEastAsia" w:eastAsiaTheme="minorEastAsia" w:cstheme="minorEastAsia"/>
                <w:b w:val="0"/>
                <w:bCs w:val="0"/>
                <w:color w:val="auto"/>
                <w:sz w:val="18"/>
                <w:szCs w:val="18"/>
                <w:highlight w:val="none"/>
                <w:lang w:val="en-US" w:eastAsia="zh-CN"/>
              </w:rPr>
            </w:pPr>
            <w:r>
              <w:rPr>
                <w:rFonts w:hint="eastAsia" w:asciiTheme="minorEastAsia" w:hAnsiTheme="minorEastAsia" w:eastAsiaTheme="minorEastAsia" w:cstheme="minorEastAsia"/>
                <w:b w:val="0"/>
                <w:bCs w:val="0"/>
                <w:color w:val="auto"/>
                <w:sz w:val="18"/>
                <w:szCs w:val="18"/>
                <w:highlight w:val="none"/>
                <w:lang w:val="en-US" w:eastAsia="zh-CN"/>
              </w:rPr>
              <w:t>6-4.5</w:t>
            </w:r>
          </w:p>
        </w:tc>
        <w:tc>
          <w:tcPr>
            <w:tcW w:w="1159"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eastAsia" w:asciiTheme="minorEastAsia" w:hAnsiTheme="minorEastAsia" w:eastAsiaTheme="minorEastAsia" w:cstheme="minorEastAsia"/>
                <w:b w:val="0"/>
                <w:bCs w:val="0"/>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lang w:val="en-US" w:eastAsia="zh-CN"/>
              </w:rPr>
              <w:t>4.4-3.0</w:t>
            </w:r>
          </w:p>
        </w:tc>
        <w:tc>
          <w:tcPr>
            <w:tcW w:w="883" w:type="dxa"/>
            <w:tcBorders>
              <w:top w:val="single" w:color="000000" w:sz="8" w:space="0"/>
              <w:left w:val="single" w:color="auto" w:sz="4" w:space="0"/>
              <w:bottom w:val="single" w:color="000000" w:sz="8" w:space="0"/>
              <w:right w:val="single" w:color="auto" w:sz="4" w:space="0"/>
            </w:tcBorders>
            <w:shd w:val="clear" w:color="auto" w:fill="FFFFFF"/>
            <w:vAlign w:val="center"/>
          </w:tcPr>
          <w:p>
            <w:pPr>
              <w:widowControl w:val="0"/>
              <w:jc w:val="center"/>
              <w:outlineLvl w:val="0"/>
              <w:rPr>
                <w:rFonts w:hint="eastAsia" w:asciiTheme="minorEastAsia" w:hAnsiTheme="minorEastAsia" w:eastAsiaTheme="minorEastAsia" w:cstheme="minorEastAsia"/>
                <w:b w:val="0"/>
                <w:bCs w:val="0"/>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lang w:val="en-US" w:eastAsia="zh-CN"/>
              </w:rPr>
              <w:t>2.9-1.5</w:t>
            </w:r>
          </w:p>
        </w:tc>
        <w:tc>
          <w:tcPr>
            <w:tcW w:w="931"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b w:val="0"/>
                <w:bCs w:val="0"/>
                <w:color w:val="auto"/>
                <w:sz w:val="18"/>
                <w:szCs w:val="18"/>
                <w:highlight w:val="none"/>
              </w:rPr>
            </w:pPr>
            <w:r>
              <w:rPr>
                <w:rFonts w:hint="eastAsia" w:asciiTheme="minorEastAsia" w:hAnsiTheme="minorEastAsia" w:eastAsiaTheme="minorEastAsia" w:cstheme="minorEastAsia"/>
                <w:b w:val="0"/>
                <w:bCs w:val="0"/>
                <w:color w:val="auto"/>
                <w:sz w:val="18"/>
                <w:szCs w:val="18"/>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5" w:type="dxa"/>
            <w:vMerge w:val="continue"/>
            <w:tcBorders>
              <w:left w:val="single" w:color="000000" w:sz="8" w:space="0"/>
              <w:bottom w:val="single" w:color="000000" w:sz="8" w:space="0"/>
              <w:right w:val="single" w:color="000000" w:sz="8" w:space="0"/>
            </w:tcBorders>
            <w:vAlign w:val="center"/>
          </w:tcPr>
          <w:p>
            <w:pPr>
              <w:jc w:val="center"/>
              <w:rPr>
                <w:rFonts w:hint="default" w:asciiTheme="minorEastAsia" w:hAnsiTheme="minorEastAsia" w:eastAsiaTheme="minorEastAsia" w:cstheme="minorEastAsia"/>
                <w:color w:val="auto"/>
                <w:sz w:val="18"/>
                <w:szCs w:val="18"/>
                <w:highlight w:val="none"/>
                <w:lang w:val="en-US" w:eastAsia="zh-CN"/>
              </w:rPr>
            </w:pPr>
          </w:p>
        </w:tc>
        <w:tc>
          <w:tcPr>
            <w:tcW w:w="1134" w:type="dxa"/>
            <w:vMerge w:val="continue"/>
            <w:tcBorders>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eastAsia="zh-CN"/>
              </w:rPr>
            </w:pPr>
          </w:p>
        </w:tc>
        <w:tc>
          <w:tcPr>
            <w:tcW w:w="265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val="0"/>
              <w:jc w:val="both"/>
              <w:outlineLvl w:val="0"/>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eastAsia="zh-CN"/>
              </w:rPr>
              <w:t>系统免费维护期为三年，每增加一年，得</w:t>
            </w:r>
            <w:r>
              <w:rPr>
                <w:rFonts w:hint="eastAsia" w:asciiTheme="minorEastAsia" w:hAnsiTheme="minorEastAsia" w:eastAsiaTheme="minorEastAsia" w:cstheme="minorEastAsia"/>
                <w:color w:val="auto"/>
                <w:sz w:val="18"/>
                <w:szCs w:val="18"/>
                <w:highlight w:val="none"/>
                <w:lang w:val="en-US" w:eastAsia="zh-CN"/>
              </w:rPr>
              <w:t>0.5分，最多得1分</w:t>
            </w:r>
          </w:p>
        </w:tc>
        <w:tc>
          <w:tcPr>
            <w:tcW w:w="4122" w:type="dxa"/>
            <w:gridSpan w:val="4"/>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val="0"/>
              <w:jc w:val="center"/>
              <w:outlineLvl w:val="0"/>
              <w:rPr>
                <w:rFonts w:hint="default"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0-1</w:t>
            </w:r>
          </w:p>
        </w:tc>
      </w:tr>
    </w:tbl>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numPr>
          <w:ilvl w:val="0"/>
          <w:numId w:val="4"/>
        </w:numPr>
        <w:spacing w:line="360" w:lineRule="auto"/>
        <w:jc w:val="center"/>
        <w:outlineLvl w:val="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 公开招标需求</w:t>
      </w:r>
    </w:p>
    <w:p>
      <w:pPr>
        <w:pageBreakBefore w:val="0"/>
        <w:widowControl w:val="0"/>
        <w:tabs>
          <w:tab w:val="left" w:pos="8280"/>
        </w:tabs>
        <w:kinsoku/>
        <w:wordWrap/>
        <w:overflowPunct/>
        <w:topLinePunct w:val="0"/>
        <w:autoSpaceDE w:val="0"/>
        <w:autoSpaceDN w:val="0"/>
        <w:bidi w:val="0"/>
        <w:adjustRightInd w:val="0"/>
        <w:snapToGrid/>
        <w:spacing w:line="440" w:lineRule="exact"/>
        <w:ind w:right="25"/>
        <w:textAlignment w:val="auto"/>
        <w:rPr>
          <w:rFonts w:hint="eastAsia" w:asciiTheme="minorEastAsia" w:hAnsiTheme="minorEastAsia" w:eastAsiaTheme="minorEastAsia" w:cstheme="minorEastAsia"/>
          <w:b/>
          <w:color w:val="auto"/>
          <w:sz w:val="24"/>
          <w:szCs w:val="24"/>
          <w:highlight w:val="none"/>
          <w:lang w:eastAsia="zh-CN"/>
        </w:rPr>
      </w:pPr>
      <w:bookmarkStart w:id="0" w:name="_Toc34000648"/>
      <w:bookmarkStart w:id="1" w:name="_Hlk29859714"/>
      <w:r>
        <w:rPr>
          <w:rFonts w:hint="eastAsia" w:asciiTheme="minorEastAsia" w:hAnsiTheme="minorEastAsia" w:eastAsiaTheme="minorEastAsia" w:cstheme="minorEastAsia"/>
          <w:b/>
          <w:color w:val="auto"/>
          <w:sz w:val="24"/>
          <w:szCs w:val="24"/>
          <w:highlight w:val="none"/>
        </w:rPr>
        <w:t>一、项目</w:t>
      </w:r>
      <w:r>
        <w:rPr>
          <w:rFonts w:hint="eastAsia" w:asciiTheme="minorEastAsia" w:hAnsiTheme="minorEastAsia" w:eastAsiaTheme="minorEastAsia" w:cstheme="minorEastAsia"/>
          <w:b/>
          <w:color w:val="auto"/>
          <w:sz w:val="24"/>
          <w:szCs w:val="24"/>
          <w:highlight w:val="none"/>
          <w:lang w:eastAsia="zh-CN"/>
        </w:rPr>
        <w:t>概况</w:t>
      </w:r>
    </w:p>
    <w:p>
      <w:pPr>
        <w:pStyle w:val="6"/>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4"/>
          <w:szCs w:val="24"/>
          <w:highlight w:val="none"/>
        </w:rPr>
      </w:pPr>
      <w:bookmarkStart w:id="2" w:name="_Toc10623452"/>
      <w:bookmarkStart w:id="3" w:name="_Toc11591149"/>
      <w:bookmarkStart w:id="4" w:name="_Toc10623378"/>
      <w:bookmarkStart w:id="5" w:name="_Toc10623555"/>
      <w:r>
        <w:rPr>
          <w:rFonts w:hint="eastAsia" w:asciiTheme="minorEastAsia" w:hAnsiTheme="minorEastAsia" w:eastAsiaTheme="minorEastAsia" w:cstheme="minorEastAsia"/>
          <w:color w:val="auto"/>
          <w:sz w:val="24"/>
          <w:szCs w:val="24"/>
          <w:highlight w:val="none"/>
        </w:rPr>
        <w:t>1.水资源标准化管理平台</w:t>
      </w:r>
      <w:bookmarkEnd w:id="2"/>
      <w:bookmarkEnd w:id="3"/>
      <w:bookmarkEnd w:id="4"/>
      <w:bookmarkEnd w:id="5"/>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bookmarkStart w:id="6" w:name="_Toc10623556"/>
      <w:bookmarkStart w:id="7" w:name="_Toc10623453"/>
      <w:bookmarkStart w:id="8" w:name="_Toc10623379"/>
      <w:r>
        <w:rPr>
          <w:rFonts w:hint="eastAsia" w:asciiTheme="minorEastAsia" w:hAnsiTheme="minorEastAsia" w:eastAsiaTheme="minorEastAsia" w:cstheme="minorEastAsia"/>
          <w:color w:val="auto"/>
          <w:sz w:val="24"/>
          <w:szCs w:val="24"/>
          <w:highlight w:val="none"/>
        </w:rPr>
        <w:t>1.1首页</w:t>
      </w:r>
      <w:bookmarkEnd w:id="6"/>
      <w:bookmarkEnd w:id="7"/>
      <w:bookmarkEnd w:id="8"/>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首页对水资源管理人员开放。</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以图表结合的形式直观地向用户提供日常业务的处理情况、实时监测信息和部分统计信息，满足各项在线监测和非在线监测的信息服务需求，可在大屏幕或图形工作站环境下，以鲜明简洁的图、文、声、像、图表等方式显示，基于水资源分区、乡镇区划、重要产业园区，方便快捷的查询各类业务信息，提供全面、详细、及时、准确的水资源信息服务。水资源管理人员可以在首页查看全市及每个取水户取用水情况、设备故障情况、水费征收情况及相关统计信息；可以查看实时故障情况、设备巡检情况等信息。</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bookmarkStart w:id="9" w:name="_Toc10623454"/>
      <w:bookmarkStart w:id="10" w:name="_Toc10623380"/>
      <w:bookmarkStart w:id="11" w:name="_Toc10623557"/>
      <w:r>
        <w:rPr>
          <w:rFonts w:hint="eastAsia" w:asciiTheme="minorEastAsia" w:hAnsiTheme="minorEastAsia" w:eastAsiaTheme="minorEastAsia" w:cstheme="minorEastAsia"/>
          <w:color w:val="auto"/>
          <w:sz w:val="24"/>
          <w:szCs w:val="24"/>
          <w:highlight w:val="none"/>
        </w:rPr>
        <w:t>1.2一张图</w:t>
      </w:r>
      <w:bookmarkEnd w:id="9"/>
      <w:bookmarkEnd w:id="10"/>
      <w:bookmarkEnd w:id="11"/>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建设内容包括数据基准和精度确定、地图数据层建设和webgis基本功能设计。其中地图数据包括空间数据、业务数据和水文数据；水资源标准化管理平台建设中用到的webgis基本功能包括地图放大和缩小功能设计、地图漫游功能设计、距离测量工具（Measurement）、面积测量功能设计、属性显示功能设计 、书签功能（Bookmarks）、缓冲区分析、显示视频监控点功能 、自动预警提示功能 、空间统计分析。</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 xml:space="preserve">1） 地图放大和缩小功能设计 </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 xml:space="preserve">电子地图需满足能够按照一定比例实现放大或缩小功能。当对工具栏上的“放大或者缩小”按钮进行点击后，鼠标的形状即变为“放大或者缩小”镜状并在地图 显示窗口显示。 </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2） 地图漫游功能设计</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在地图场景中提供类似谷歌的鼠标操作模式。</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3） 距离测量工具（Measurement）</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 xml:space="preserve"> 在导航工具条中有距离测量功能的按钮。该功能的目的是显示所想要测量的距离并显示具体数值。</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4） 面积测量功能设计</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 xml:space="preserve"> 在导航工具条中有面积测量功能的按钮。该功能的目的是得到想要区域的面积数值并在界面显示。</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 xml:space="preserve">5） 属性显示功能设计 </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选择导航工具条里的属性显示功能，当鼠标移动并点击到地图中的任意实体上时，会显示出该实体的属性。</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bookmarkStart w:id="12" w:name="_Toc530466280"/>
      <w:r>
        <w:rPr>
          <w:rFonts w:hint="eastAsia" w:asciiTheme="minorEastAsia" w:hAnsiTheme="minorEastAsia" w:eastAsiaTheme="minorEastAsia" w:cstheme="minorEastAsia"/>
          <w:color w:val="auto"/>
          <w:sz w:val="24"/>
          <w:szCs w:val="24"/>
          <w:highlight w:val="none"/>
          <w:shd w:val="clear" w:color="auto" w:fill="FFFFFF"/>
        </w:rPr>
        <w:t>6） 书签功能（Bookmarks）</w:t>
      </w:r>
      <w:bookmarkEnd w:id="12"/>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书签窗口小部件可以将当前的地图范围保存为书签。该小部件提供了一个用户界面，允许用户添加，删除和编辑书签。</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7） 缓冲区分析</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线状（河流面）缓冲区分析功能，用于取水审批，智能核算区域用水总量、剩余总量、该条河流及水库可利用量、该条河道已批用水户数量。</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 xml:space="preserve">8） 实时监控功能 </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汇集全市所有的取水监测数据、视频图像数据、实时水雨情数据、水质指标数据，实现对各类监测站及其采集的信息进行管理、查询和统计分析等。可实时监控信息包括：(1)实时水质信息信息。(2)实时水雨情信息。(3)实时取水信息。（4）视频监控信息。</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 xml:space="preserve">9）自动预警提示功能 </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对区域剩余用水总量进行智能提醒预警。</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水资源费缴费状态地图智能提醒，用于展示本月取水户缴费户数，可高亮闪烁。</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取水计量设备三率异常提醒，用水提示管理人员，设备异常，可点击异常点，进入短信提醒页面，通知法人代表或联系人。</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bookmarkStart w:id="13" w:name="_Toc10623455"/>
      <w:bookmarkStart w:id="14" w:name="_Toc10623558"/>
      <w:bookmarkStart w:id="15" w:name="_Toc10623381"/>
      <w:r>
        <w:rPr>
          <w:rFonts w:hint="eastAsia" w:asciiTheme="minorEastAsia" w:hAnsiTheme="minorEastAsia" w:eastAsiaTheme="minorEastAsia" w:cstheme="minorEastAsia"/>
          <w:color w:val="auto"/>
          <w:sz w:val="24"/>
          <w:szCs w:val="24"/>
          <w:highlight w:val="none"/>
        </w:rPr>
        <w:t>1.3取水辅助审批</w:t>
      </w:r>
      <w:bookmarkEnd w:id="13"/>
      <w:bookmarkEnd w:id="14"/>
      <w:bookmarkEnd w:id="15"/>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取水辅助审批模块对水资源管理人员开放。</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取水论证实现用户取水论证信息的智能化管理，用户可基于水资源一张图，在地图上选取取水地点，与前期区域论证成果进行空间分析，快速计算取水所在区域、附近水源的剩余许可水量，判断申请取水量是否超标、水耗标准是否满足，辅助管理人员得出论证初步结论。</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1.4许可管理</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许可管理模块对水资源管理人员开放。</w:t>
      </w:r>
    </w:p>
    <w:p>
      <w:pPr>
        <w:pStyle w:val="21"/>
        <w:pageBreakBefore w:val="0"/>
        <w:widowControl w:val="0"/>
        <w:kinsoku/>
        <w:wordWrap/>
        <w:overflowPunct/>
        <w:topLinePunct w:val="0"/>
        <w:bidi w:val="0"/>
        <w:snapToGrid/>
        <w:spacing w:line="440" w:lineRule="exact"/>
        <w:ind w:firstLine="21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实现对许可证信息的管理和维护，包括许可证的录入、到期提醒、注销等操作。</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1.5计划管理</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计划管理模块对水资源管理人员开放。</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实现对取水户年度计划下达的管理，包括年度计划下达和确认，计划的修改调整操作；也可实现对历年取水计划的搜索查询。</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bookmarkStart w:id="16" w:name="_Toc10623456"/>
      <w:bookmarkStart w:id="17" w:name="_Toc10623559"/>
      <w:bookmarkStart w:id="18" w:name="_Toc10623382"/>
      <w:r>
        <w:rPr>
          <w:rFonts w:hint="eastAsia" w:asciiTheme="minorEastAsia" w:hAnsiTheme="minorEastAsia" w:eastAsiaTheme="minorEastAsia" w:cstheme="minorEastAsia"/>
          <w:color w:val="auto"/>
          <w:sz w:val="24"/>
          <w:szCs w:val="24"/>
          <w:highlight w:val="none"/>
        </w:rPr>
        <w:t>1.</w:t>
      </w:r>
      <w:bookmarkEnd w:id="16"/>
      <w:bookmarkEnd w:id="17"/>
      <w:bookmarkEnd w:id="18"/>
      <w:r>
        <w:rPr>
          <w:rFonts w:hint="eastAsia" w:asciiTheme="minorEastAsia" w:hAnsiTheme="minorEastAsia" w:eastAsiaTheme="minorEastAsia" w:cstheme="minorEastAsia"/>
          <w:color w:val="auto"/>
          <w:sz w:val="24"/>
          <w:szCs w:val="24"/>
          <w:highlight w:val="none"/>
        </w:rPr>
        <w:t>6节水管理</w:t>
      </w:r>
    </w:p>
    <w:p>
      <w:pPr>
        <w:pageBreakBefore w:val="0"/>
        <w:widowControl w:val="0"/>
        <w:kinsoku/>
        <w:wordWrap/>
        <w:overflowPunct/>
        <w:topLinePunct w:val="0"/>
        <w:bidi w:val="0"/>
        <w:snapToGrid/>
        <w:spacing w:line="440" w:lineRule="exact"/>
        <w:ind w:firstLine="39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节水管理模块对水资源管理人员开放。</w:t>
      </w:r>
    </w:p>
    <w:p>
      <w:pPr>
        <w:pStyle w:val="21"/>
        <w:pageBreakBefore w:val="0"/>
        <w:widowControl w:val="0"/>
        <w:kinsoku/>
        <w:wordWrap/>
        <w:overflowPunct/>
        <w:topLinePunct w:val="0"/>
        <w:bidi w:val="0"/>
        <w:snapToGrid/>
        <w:spacing w:line="440" w:lineRule="exact"/>
        <w:ind w:firstLine="444" w:firstLineChars="185"/>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实现对节水载体建设、农业节水等信息的录入、修改、搜索等操作。</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1.7一户一档</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一户一档对水资源管理人员开放。</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实现水资源管理人员对各取水户的基本信息、许可证情况、取水计划、实时取用水信息、监控视频、历次监管记录、缴费情况以及节水台账进行全生命流程、一站式管理；同时对取水户的各项数据、行为进行统计分析，形成用户画像，以便管理人员把握取用水情况、许可证和缴费情况，进行针对性监管，并对各乡镇统计分析。</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bookmarkStart w:id="19" w:name="_Toc10623383"/>
      <w:bookmarkStart w:id="20" w:name="_Toc10623560"/>
      <w:bookmarkStart w:id="21" w:name="_Toc10623457"/>
      <w:r>
        <w:rPr>
          <w:rFonts w:hint="eastAsia" w:asciiTheme="minorEastAsia" w:hAnsiTheme="minorEastAsia" w:eastAsiaTheme="minorEastAsia" w:cstheme="minorEastAsia"/>
          <w:color w:val="auto"/>
          <w:sz w:val="24"/>
          <w:szCs w:val="24"/>
          <w:highlight w:val="none"/>
        </w:rPr>
        <w:t>1.8缴费</w:t>
      </w:r>
      <w:bookmarkEnd w:id="19"/>
      <w:bookmarkEnd w:id="20"/>
      <w:bookmarkEnd w:id="21"/>
      <w:r>
        <w:rPr>
          <w:rFonts w:hint="eastAsia" w:asciiTheme="minorEastAsia" w:hAnsiTheme="minorEastAsia" w:eastAsiaTheme="minorEastAsia" w:cstheme="minorEastAsia"/>
          <w:color w:val="auto"/>
          <w:sz w:val="24"/>
          <w:szCs w:val="24"/>
          <w:highlight w:val="none"/>
        </w:rPr>
        <w:t>管理</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缴费管理模块对水资源管理人员开放。</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实现收费标准维护、水量确认单批量生成、反馈水量核定、水费单下达、收费状态监控等功能。</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bookmarkStart w:id="22" w:name="_Toc10623561"/>
      <w:bookmarkStart w:id="23" w:name="_Toc10623458"/>
      <w:bookmarkStart w:id="24" w:name="_Toc10623384"/>
      <w:r>
        <w:rPr>
          <w:rFonts w:hint="eastAsia" w:asciiTheme="minorEastAsia" w:hAnsiTheme="minorEastAsia" w:eastAsiaTheme="minorEastAsia" w:cstheme="minorEastAsia"/>
          <w:color w:val="auto"/>
          <w:sz w:val="24"/>
          <w:szCs w:val="24"/>
          <w:highlight w:val="none"/>
        </w:rPr>
        <w:t>1.9实时监测</w:t>
      </w:r>
      <w:bookmarkEnd w:id="22"/>
      <w:bookmarkEnd w:id="23"/>
      <w:bookmarkEnd w:id="24"/>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实时监测模块，提供对取水口监测点的实时信息管理，包括查询、统计分析以及预警的自动生成与发送。主要内容包括视频监测数据、取水计量数据、水质监测数据以及设备故障数据等的实时获取与管理，并能够基于区域论证数据，对乡镇、产业园区、或单个取水户的取水量趋势进行超标超量预警。</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bookmarkStart w:id="25" w:name="_Toc10623566"/>
      <w:bookmarkStart w:id="26" w:name="_Toc10623463"/>
      <w:bookmarkStart w:id="27" w:name="_Toc10623389"/>
      <w:r>
        <w:rPr>
          <w:rFonts w:hint="eastAsia" w:asciiTheme="minorEastAsia" w:hAnsiTheme="minorEastAsia" w:eastAsiaTheme="minorEastAsia" w:cstheme="minorEastAsia"/>
          <w:color w:val="auto"/>
          <w:sz w:val="24"/>
          <w:szCs w:val="24"/>
          <w:highlight w:val="none"/>
        </w:rPr>
        <w:t>1.10数据维护</w:t>
      </w:r>
      <w:bookmarkEnd w:id="25"/>
      <w:bookmarkEnd w:id="26"/>
      <w:bookmarkEnd w:id="27"/>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数据维护模块对水资源管理人员中的管理员开放。提供对人员、取水户、运维单位、取水监测点、视频监控点、预警规则、缺失水量数据插补、数据中心各类服务状态维护管理等功能。</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bookmarkStart w:id="28" w:name="_Toc10623567"/>
      <w:bookmarkStart w:id="29" w:name="_Toc10623464"/>
      <w:bookmarkStart w:id="30" w:name="_Toc11591150"/>
      <w:bookmarkStart w:id="31" w:name="_Toc10623390"/>
      <w:r>
        <w:rPr>
          <w:rFonts w:hint="eastAsia" w:asciiTheme="minorEastAsia" w:hAnsiTheme="minorEastAsia" w:eastAsiaTheme="minorEastAsia" w:cstheme="minorEastAsia"/>
          <w:color w:val="auto"/>
          <w:sz w:val="24"/>
          <w:szCs w:val="24"/>
          <w:highlight w:val="none"/>
        </w:rPr>
        <w:t>1.1</w:t>
      </w:r>
      <w:bookmarkEnd w:id="28"/>
      <w:bookmarkEnd w:id="29"/>
      <w:bookmarkEnd w:id="30"/>
      <w:bookmarkEnd w:id="31"/>
      <w:r>
        <w:rPr>
          <w:rFonts w:hint="eastAsia" w:asciiTheme="minorEastAsia" w:hAnsiTheme="minorEastAsia" w:eastAsiaTheme="minorEastAsia" w:cstheme="minorEastAsia"/>
          <w:color w:val="auto"/>
          <w:sz w:val="24"/>
          <w:szCs w:val="24"/>
          <w:highlight w:val="none"/>
        </w:rPr>
        <w:t>1移动端</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面向水资源管理科人员、借助“浙政钉”统一政务工作平台，满足水利局水资源管理人员的地图查询、综合信息查看、水域巡检和监督管理需求。</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面向取水户，通过“浙里办”公众办事平台上架的H5移动应用，实现在移动端查询自身取用水量、取水计划有效期、缴费情况、是否有问题待整改，能随时随地进行水量确认、缴费反馈、缴费凭证拍照上传和确认取水计划等操作。</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对设备运维单位人员，通过“浙里办”公众办事平台上架的H5移动应用，提供设备巡检任务与对应设备档案查看、处理情况上报功能。</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1.12与其他系统对接</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（1）浙江省水资源管理系统</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系统需要与浙江省水资源管理系统无缝对接，包括取水户、取水计划、许可证等功能的数据互通。</w:t>
      </w:r>
    </w:p>
    <w:p>
      <w:pPr>
        <w:pageBreakBefore w:val="0"/>
        <w:widowControl w:val="0"/>
        <w:numPr>
          <w:ilvl w:val="0"/>
          <w:numId w:val="7"/>
        </w:numPr>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玉环市水利数据中心</w:t>
      </w:r>
    </w:p>
    <w:p>
      <w:pPr>
        <w:pStyle w:val="21"/>
        <w:pageBreakBefore w:val="0"/>
        <w:widowControl w:val="0"/>
        <w:kinsoku/>
        <w:wordWrap/>
        <w:overflowPunct/>
        <w:topLinePunct w:val="0"/>
        <w:bidi w:val="0"/>
        <w:snapToGrid/>
        <w:spacing w:line="440" w:lineRule="exact"/>
        <w:ind w:firstLine="0" w:firstLineChars="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系统需要与玉环市已建的水利数据中心无缝对接，完成数据互通。</w:t>
      </w:r>
    </w:p>
    <w:p>
      <w:pPr>
        <w:pStyle w:val="6"/>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2水土保持信息管理平台</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2.1对接项目审批窗口</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对接项目审批窗口，获取玉环市全市的审批项目，水保工作人员可针对获取的数据和相关特性进行判断该项目是否要进行后续的水土保持相关工作。</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color="auto" w:fill="FFFFFF"/>
        </w:rPr>
        <w:t>2.2项目过程监管</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对项目进行过程监管，功能包括：</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1）前期处理</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包括核对联系人信息、录入项目坐标以及确定项目类别等功能。</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工作人员通过系统发送包含特定链接的短信给相关项目联系人，联系人在手机上进行相关项目信息的完善。水保工作人员根据项目信息确定项目类别。</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2）项目分类监管</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根据项目类别（报告书、报告表、登记表和洪评表四类）设置监管流程，包括项目审批、补偿费缴纳、项目监督检查、项目验收备案等功能。</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①项目审批</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系统需提供对项目审批信息的留痕管理，包括项目细节填写、审批情况填写，批文上传等功能。</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②补偿费缴纳</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系统需要逐笔记录补偿费缴纳情况，并且将数据以时间轴的形式展示，同时对已经开工而未缴少缴的项目进行提示，供工作人员进行催缴。</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③监督检查</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系统需提供项目监督检查的功能，可通过移动端开展监督检查，对项目实施过程中逐次的监督检查进行记录，同时收集监督检查过程中产生的文件、照片、录音、录像等数字材料，形成完整的监督检查记录。</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④项目验收备案</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根据国家相关规定，系统需提供满足相关要求的验收备案功能，项目在完成验收备案后，此项目即可宣告完成。</w:t>
      </w:r>
    </w:p>
    <w:p>
      <w:pPr>
        <w:pStyle w:val="8"/>
        <w:pageBreakBefore w:val="0"/>
        <w:widowControl w:val="0"/>
        <w:kinsoku/>
        <w:wordWrap/>
        <w:overflowPunct/>
        <w:topLinePunct w:val="0"/>
        <w:bidi w:val="0"/>
        <w:snapToGrid/>
        <w:spacing w:line="440" w:lineRule="exact"/>
        <w:ind w:left="420" w:left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2.3与其他系统平台对接</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（1）浙江省水土保持管理信息平台；</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系统需要根据省厅要求获取省水土保持管理信息平台中的项目、单位、监督检查等数据，并且将玉环市相关生产建设项目数据、监督检查数据报送到省管理信息平台，达到省级相关考核要求，需要两个系统无缝对接，必要时需要请省级平台开发单位予以支持和修改。</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（2）预留与全国水土保持监督管理系统V4.0的接口。</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shd w:val="clear" w:color="auto" w:fill="FFFFFF"/>
        </w:rPr>
        <w:t>研究全国水土保持监督管理系统V4.0，根据其数据格式进行系统设计和配置，</w:t>
      </w:r>
      <w:r>
        <w:rPr>
          <w:rFonts w:hint="eastAsia" w:asciiTheme="minorEastAsia" w:hAnsiTheme="minorEastAsia" w:eastAsiaTheme="minorEastAsia" w:cstheme="minorEastAsia"/>
          <w:color w:val="auto"/>
          <w:kern w:val="2"/>
          <w:sz w:val="24"/>
          <w:szCs w:val="24"/>
          <w:highlight w:val="none"/>
          <w:lang w:val="en-US" w:eastAsia="zh-CN" w:bidi="ar-SA"/>
        </w:rPr>
        <w:t>以满足接入要求，在全国系统接口开放时可以快速接入。</w:t>
      </w:r>
    </w:p>
    <w:p>
      <w:pPr>
        <w:pageBreakBefore w:val="0"/>
        <w:widowControl w:val="0"/>
        <w:kinsoku/>
        <w:wordWrap/>
        <w:overflowPunct/>
        <w:topLinePunct w:val="0"/>
        <w:bidi w:val="0"/>
        <w:snapToGrid/>
        <w:spacing w:line="44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（3）玉环市水利数据中心</w:t>
      </w:r>
    </w:p>
    <w:p>
      <w:pPr>
        <w:pStyle w:val="21"/>
        <w:pageBreakBefore w:val="0"/>
        <w:widowControl w:val="0"/>
        <w:kinsoku/>
        <w:wordWrap/>
        <w:overflowPunct/>
        <w:topLinePunct w:val="0"/>
        <w:bidi w:val="0"/>
        <w:snapToGrid/>
        <w:spacing w:line="4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系统需要与玉环市已建的水利数据中心无缝对接，完成数据互通。</w:t>
      </w:r>
    </w:p>
    <w:p>
      <w:pPr>
        <w:pageBreakBefore w:val="0"/>
        <w:widowControl w:val="0"/>
        <w:numPr>
          <w:ilvl w:val="0"/>
          <w:numId w:val="8"/>
        </w:numPr>
        <w:tabs>
          <w:tab w:val="left" w:pos="8280"/>
        </w:tabs>
        <w:kinsoku/>
        <w:wordWrap/>
        <w:overflowPunct/>
        <w:topLinePunct w:val="0"/>
        <w:autoSpaceDE w:val="0"/>
        <w:autoSpaceDN w:val="0"/>
        <w:bidi w:val="0"/>
        <w:adjustRightInd w:val="0"/>
        <w:snapToGrid/>
        <w:spacing w:line="440" w:lineRule="exact"/>
        <w:ind w:right="25"/>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进度要求</w:t>
      </w:r>
    </w:p>
    <w:p>
      <w:pPr>
        <w:pageBreakBefore w:val="0"/>
        <w:widowControl w:val="0"/>
        <w:tabs>
          <w:tab w:val="left" w:pos="8280"/>
        </w:tabs>
        <w:kinsoku/>
        <w:wordWrap/>
        <w:overflowPunct/>
        <w:topLinePunct w:val="0"/>
        <w:autoSpaceDE w:val="0"/>
        <w:autoSpaceDN w:val="0"/>
        <w:bidi w:val="0"/>
        <w:adjustRightInd w:val="0"/>
        <w:snapToGrid/>
        <w:spacing w:line="440" w:lineRule="exact"/>
        <w:ind w:right="25" w:firstLine="480" w:firstLineChars="200"/>
        <w:textAlignment w:val="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lang w:val="en-US" w:eastAsia="zh-CN"/>
        </w:rPr>
        <w:t>2020年10月底前完成与玉环市已建的水利数据中心无缝对接，并完成数据互通</w:t>
      </w:r>
      <w:r>
        <w:rPr>
          <w:rFonts w:hint="eastAsia" w:asciiTheme="minorEastAsia" w:hAnsiTheme="minorEastAsia" w:eastAsiaTheme="minorEastAsia"/>
          <w:bCs/>
          <w:color w:val="auto"/>
          <w:sz w:val="24"/>
          <w:highlight w:val="none"/>
        </w:rPr>
        <w:t>。</w:t>
      </w:r>
    </w:p>
    <w:p>
      <w:pPr>
        <w:pageBreakBefore w:val="0"/>
        <w:widowControl w:val="0"/>
        <w:numPr>
          <w:ilvl w:val="0"/>
          <w:numId w:val="8"/>
        </w:numPr>
        <w:tabs>
          <w:tab w:val="left" w:pos="8280"/>
        </w:tabs>
        <w:kinsoku/>
        <w:wordWrap/>
        <w:overflowPunct/>
        <w:topLinePunct w:val="0"/>
        <w:autoSpaceDE w:val="0"/>
        <w:autoSpaceDN w:val="0"/>
        <w:bidi w:val="0"/>
        <w:adjustRightInd w:val="0"/>
        <w:snapToGrid/>
        <w:spacing w:line="440" w:lineRule="exact"/>
        <w:ind w:right="25"/>
        <w:textAlignment w:val="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付款方式</w:t>
      </w:r>
    </w:p>
    <w:p>
      <w:pPr>
        <w:pageBreakBefore w:val="0"/>
        <w:widowControl w:val="0"/>
        <w:numPr>
          <w:ilvl w:val="0"/>
          <w:numId w:val="9"/>
        </w:numPr>
        <w:tabs>
          <w:tab w:val="left" w:pos="8280"/>
        </w:tabs>
        <w:kinsoku/>
        <w:wordWrap/>
        <w:overflowPunct/>
        <w:topLinePunct w:val="0"/>
        <w:autoSpaceDE w:val="0"/>
        <w:autoSpaceDN w:val="0"/>
        <w:bidi w:val="0"/>
        <w:adjustRightInd w:val="0"/>
        <w:snapToGrid/>
        <w:spacing w:line="440" w:lineRule="exact"/>
        <w:ind w:right="25" w:firstLine="480" w:firstLineChars="200"/>
        <w:textAlignment w:val="auto"/>
        <w:rPr>
          <w:rFonts w:hint="eastAsia"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合同签订后15个工作日内，采购人预付合同价的</w:t>
      </w:r>
      <w:r>
        <w:rPr>
          <w:rFonts w:hint="eastAsia" w:asciiTheme="minorEastAsia" w:hAnsiTheme="minorEastAsia" w:eastAsiaTheme="minorEastAsia"/>
          <w:bCs/>
          <w:color w:val="auto"/>
          <w:sz w:val="24"/>
          <w:highlight w:val="none"/>
          <w:lang w:val="en-US" w:eastAsia="zh-CN"/>
        </w:rPr>
        <w:t>25</w:t>
      </w:r>
      <w:r>
        <w:rPr>
          <w:rFonts w:hint="eastAsia" w:asciiTheme="minorEastAsia" w:hAnsiTheme="minorEastAsia" w:eastAsiaTheme="minorEastAsia"/>
          <w:bCs/>
          <w:color w:val="auto"/>
          <w:sz w:val="24"/>
          <w:highlight w:val="none"/>
          <w:lang w:val="zh-CN"/>
        </w:rPr>
        <w:t>%。</w:t>
      </w:r>
    </w:p>
    <w:p>
      <w:pPr>
        <w:pageBreakBefore w:val="0"/>
        <w:widowControl w:val="0"/>
        <w:numPr>
          <w:ilvl w:val="0"/>
          <w:numId w:val="9"/>
        </w:numPr>
        <w:tabs>
          <w:tab w:val="left" w:pos="8280"/>
        </w:tabs>
        <w:kinsoku/>
        <w:wordWrap/>
        <w:overflowPunct/>
        <w:topLinePunct w:val="0"/>
        <w:autoSpaceDE w:val="0"/>
        <w:autoSpaceDN w:val="0"/>
        <w:bidi w:val="0"/>
        <w:adjustRightInd w:val="0"/>
        <w:snapToGrid/>
        <w:spacing w:line="440" w:lineRule="exact"/>
        <w:ind w:right="25" w:firstLine="480" w:firstLineChars="200"/>
        <w:textAlignment w:val="auto"/>
        <w:rPr>
          <w:rFonts w:hint="eastAsia"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项目服务结束经验收合格后15个工作日内，采购人支付合同价的</w:t>
      </w:r>
      <w:r>
        <w:rPr>
          <w:rFonts w:hint="eastAsia" w:asciiTheme="minorEastAsia" w:hAnsiTheme="minorEastAsia" w:eastAsiaTheme="minorEastAsia"/>
          <w:bCs/>
          <w:color w:val="auto"/>
          <w:sz w:val="24"/>
          <w:highlight w:val="none"/>
          <w:lang w:val="en-US" w:eastAsia="zh-CN"/>
        </w:rPr>
        <w:t>75</w:t>
      </w:r>
      <w:r>
        <w:rPr>
          <w:rFonts w:hint="eastAsia" w:asciiTheme="minorEastAsia" w:hAnsiTheme="minorEastAsia" w:eastAsiaTheme="minorEastAsia"/>
          <w:bCs/>
          <w:color w:val="auto"/>
          <w:sz w:val="24"/>
          <w:highlight w:val="none"/>
          <w:lang w:val="zh-CN"/>
        </w:rPr>
        <w:t>%。</w:t>
      </w:r>
    </w:p>
    <w:bookmarkEnd w:id="0"/>
    <w:bookmarkEnd w:id="1"/>
    <w:p>
      <w:pPr>
        <w:rPr>
          <w:rFonts w:hint="eastAsia"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br w:type="page"/>
      </w:r>
    </w:p>
    <w:p>
      <w:pPr>
        <w:pStyle w:val="2"/>
        <w:jc w:val="left"/>
        <w:rPr>
          <w:rFonts w:hint="eastAsia" w:asciiTheme="minorEastAsia" w:hAnsiTheme="minorEastAsia" w:eastAsiaTheme="minorEastAsia"/>
          <w:bCs/>
          <w:color w:val="auto"/>
          <w:sz w:val="24"/>
          <w:highlight w:val="none"/>
          <w:lang w:val="zh-CN"/>
        </w:rPr>
      </w:pPr>
    </w:p>
    <w:p>
      <w:pPr>
        <w:autoSpaceDE w:val="0"/>
        <w:autoSpaceDN w:val="0"/>
        <w:adjustRightInd w:val="0"/>
        <w:snapToGrid w:val="0"/>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政府采购合同主要条款指引</w:t>
      </w:r>
    </w:p>
    <w:p>
      <w:pPr>
        <w:tabs>
          <w:tab w:val="left" w:pos="1200"/>
        </w:tabs>
        <w:rPr>
          <w:rFonts w:ascii="Calibri" w:hAnsi="Calibri"/>
          <w:b/>
          <w:color w:val="auto"/>
          <w:sz w:val="28"/>
          <w:szCs w:val="22"/>
          <w:highlight w:val="none"/>
        </w:rPr>
      </w:pPr>
      <w:r>
        <w:rPr>
          <w:rFonts w:hint="eastAsia" w:ascii="Calibri" w:hAnsi="Calibri"/>
          <w:b/>
          <w:color w:val="auto"/>
          <w:sz w:val="30"/>
          <w:szCs w:val="22"/>
          <w:highlight w:val="none"/>
        </w:rPr>
        <w:t>合同登记编号</w:t>
      </w:r>
      <w:r>
        <w:rPr>
          <w:rFonts w:hint="eastAsia" w:ascii="Calibri" w:hAnsi="Calibri"/>
          <w:b/>
          <w:color w:val="auto"/>
          <w:sz w:val="28"/>
          <w:szCs w:val="22"/>
          <w:highlight w:val="none"/>
        </w:rPr>
        <w:t>：</w:t>
      </w:r>
    </w:p>
    <w:p>
      <w:pPr>
        <w:tabs>
          <w:tab w:val="left" w:pos="1200"/>
        </w:tabs>
        <w:rPr>
          <w:rFonts w:ascii="Calibri" w:hAnsi="Calibri"/>
          <w:b/>
          <w:color w:val="auto"/>
          <w:sz w:val="28"/>
          <w:szCs w:val="22"/>
          <w:highlight w:val="none"/>
        </w:rPr>
      </w:pPr>
    </w:p>
    <w:p>
      <w:pPr>
        <w:tabs>
          <w:tab w:val="left" w:pos="1200"/>
        </w:tabs>
        <w:rPr>
          <w:rFonts w:ascii="Calibri" w:hAnsi="Calibri"/>
          <w:color w:val="auto"/>
          <w:sz w:val="10"/>
          <w:szCs w:val="22"/>
          <w:highlight w:val="none"/>
        </w:rPr>
      </w:pPr>
    </w:p>
    <w:tbl>
      <w:tblPr>
        <w:tblStyle w:val="22"/>
        <w:tblW w:w="5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454"/>
        <w:gridCol w:w="454"/>
        <w:gridCol w:w="454"/>
        <w:gridCol w:w="454"/>
        <w:gridCol w:w="454"/>
        <w:gridCol w:w="454"/>
        <w:gridCol w:w="454"/>
        <w:gridCol w:w="454"/>
        <w:gridCol w:w="454"/>
        <w:gridCol w:w="454"/>
        <w:gridCol w:w="454"/>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c>
          <w:tcPr>
            <w:tcW w:w="454" w:type="dxa"/>
            <w:tcBorders>
              <w:top w:val="single" w:color="auto" w:sz="4" w:space="0"/>
              <w:left w:val="single" w:color="auto" w:sz="4" w:space="0"/>
              <w:bottom w:val="single" w:color="auto" w:sz="4" w:space="0"/>
              <w:right w:val="single" w:color="auto" w:sz="4" w:space="0"/>
            </w:tcBorders>
            <w:vAlign w:val="center"/>
          </w:tcPr>
          <w:p>
            <w:pPr>
              <w:tabs>
                <w:tab w:val="left" w:pos="1200"/>
              </w:tabs>
              <w:jc w:val="center"/>
              <w:rPr>
                <w:rFonts w:ascii="宋体" w:hAnsi="宋体" w:cs="宋体"/>
                <w:color w:val="auto"/>
                <w:sz w:val="24"/>
                <w:szCs w:val="22"/>
                <w:highlight w:val="none"/>
              </w:rPr>
            </w:pPr>
          </w:p>
        </w:tc>
      </w:tr>
    </w:tbl>
    <w:p>
      <w:pPr>
        <w:tabs>
          <w:tab w:val="left" w:pos="1200"/>
        </w:tabs>
        <w:rPr>
          <w:rFonts w:ascii="Calibri" w:hAnsi="Calibri"/>
          <w:color w:val="auto"/>
          <w:sz w:val="24"/>
          <w:szCs w:val="22"/>
          <w:highlight w:val="none"/>
        </w:rPr>
      </w:pPr>
    </w:p>
    <w:p>
      <w:pPr>
        <w:tabs>
          <w:tab w:val="left" w:pos="1200"/>
        </w:tabs>
        <w:rPr>
          <w:rFonts w:ascii="Calibri" w:hAnsi="Calibri"/>
          <w:color w:val="auto"/>
          <w:sz w:val="24"/>
          <w:szCs w:val="22"/>
          <w:highlight w:val="none"/>
        </w:rPr>
      </w:pPr>
    </w:p>
    <w:p>
      <w:pPr>
        <w:tabs>
          <w:tab w:val="left" w:pos="1200"/>
        </w:tabs>
        <w:rPr>
          <w:rFonts w:ascii="Calibri" w:hAnsi="Calibri"/>
          <w:color w:val="auto"/>
          <w:sz w:val="24"/>
          <w:szCs w:val="22"/>
          <w:highlight w:val="none"/>
        </w:rPr>
      </w:pPr>
    </w:p>
    <w:p>
      <w:pPr>
        <w:tabs>
          <w:tab w:val="left" w:pos="1100"/>
        </w:tabs>
        <w:jc w:val="center"/>
        <w:rPr>
          <w:rFonts w:ascii="Calibri" w:hAnsi="Calibri"/>
          <w:b/>
          <w:color w:val="auto"/>
          <w:sz w:val="44"/>
          <w:szCs w:val="22"/>
          <w:highlight w:val="none"/>
        </w:rPr>
      </w:pPr>
      <w:r>
        <w:rPr>
          <w:rFonts w:hint="eastAsia" w:ascii="Calibri" w:hAnsi="Calibri"/>
          <w:b/>
          <w:color w:val="auto"/>
          <w:sz w:val="44"/>
          <w:szCs w:val="22"/>
          <w:highlight w:val="none"/>
        </w:rPr>
        <w:t>合  同  书</w:t>
      </w:r>
    </w:p>
    <w:p>
      <w:pPr>
        <w:tabs>
          <w:tab w:val="left" w:pos="1100"/>
        </w:tabs>
        <w:rPr>
          <w:rFonts w:ascii="Calibri" w:hAnsi="Calibri"/>
          <w:b/>
          <w:color w:val="auto"/>
          <w:sz w:val="10"/>
          <w:szCs w:val="22"/>
          <w:highlight w:val="none"/>
        </w:rPr>
      </w:pPr>
      <w:r>
        <w:rPr>
          <w:rFonts w:ascii="Calibri" w:hAnsi="Calibri"/>
          <w:b/>
          <w:color w:val="auto"/>
          <w:sz w:val="44"/>
          <w:szCs w:val="22"/>
          <w:highlight w:val="none"/>
        </w:rPr>
        <w:t xml:space="preserve">                         </w:t>
      </w:r>
    </w:p>
    <w:p>
      <w:pPr>
        <w:tabs>
          <w:tab w:val="left" w:pos="1100"/>
        </w:tabs>
        <w:rPr>
          <w:rFonts w:ascii="Calibri" w:hAnsi="Calibri"/>
          <w:color w:val="auto"/>
          <w:sz w:val="18"/>
          <w:szCs w:val="22"/>
          <w:highlight w:val="none"/>
        </w:rPr>
      </w:pPr>
      <w:r>
        <w:rPr>
          <w:rFonts w:ascii="Calibri" w:hAnsi="Calibri"/>
          <w:b/>
          <w:color w:val="auto"/>
          <w:sz w:val="28"/>
          <w:szCs w:val="22"/>
          <w:highlight w:val="none"/>
        </w:rPr>
        <w:t xml:space="preserve">                                      </w:t>
      </w:r>
      <w:r>
        <w:rPr>
          <w:rFonts w:ascii="Calibri" w:hAnsi="Calibri"/>
          <w:color w:val="auto"/>
          <w:sz w:val="24"/>
          <w:szCs w:val="22"/>
          <w:highlight w:val="none"/>
        </w:rPr>
        <w:t xml:space="preserve">                                   </w:t>
      </w:r>
    </w:p>
    <w:p>
      <w:pPr>
        <w:tabs>
          <w:tab w:val="left" w:pos="1100"/>
        </w:tabs>
        <w:spacing w:line="560" w:lineRule="exact"/>
        <w:rPr>
          <w:rFonts w:ascii="Calibri" w:hAnsi="Calibri"/>
          <w:color w:val="auto"/>
          <w:sz w:val="30"/>
          <w:szCs w:val="22"/>
          <w:highlight w:val="none"/>
        </w:rPr>
      </w:pPr>
    </w:p>
    <w:p>
      <w:pPr>
        <w:tabs>
          <w:tab w:val="left" w:pos="1100"/>
        </w:tabs>
        <w:spacing w:line="560" w:lineRule="exact"/>
        <w:ind w:firstLine="980" w:firstLineChars="350"/>
        <w:rPr>
          <w:rFonts w:ascii="宋体" w:hAnsi="宋体" w:cs="宋体"/>
          <w:color w:val="auto"/>
          <w:sz w:val="28"/>
          <w:szCs w:val="28"/>
          <w:highlight w:val="none"/>
        </w:rPr>
      </w:pPr>
      <w:r>
        <w:rPr>
          <w:rFonts w:hint="eastAsia" w:ascii="宋体" w:hAnsi="宋体" w:cs="宋体"/>
          <w:color w:val="auto"/>
          <w:sz w:val="28"/>
          <w:szCs w:val="28"/>
          <w:highlight w:val="none"/>
        </w:rPr>
        <w:t>项 目 名 称：</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pStyle w:val="2"/>
        <w:rPr>
          <w:color w:val="auto"/>
          <w:highlight w:val="none"/>
        </w:rPr>
      </w:pPr>
    </w:p>
    <w:p>
      <w:pPr>
        <w:tabs>
          <w:tab w:val="left" w:pos="1100"/>
        </w:tabs>
        <w:spacing w:line="560" w:lineRule="exact"/>
        <w:ind w:firstLine="980" w:firstLineChars="350"/>
        <w:rPr>
          <w:rFonts w:ascii="宋体" w:hAnsi="宋体" w:cs="宋体"/>
          <w:color w:val="auto"/>
          <w:sz w:val="28"/>
          <w:szCs w:val="28"/>
          <w:highlight w:val="none"/>
          <w:u w:val="single"/>
        </w:rPr>
      </w:pPr>
      <w:r>
        <w:rPr>
          <w:rFonts w:hint="eastAsia" w:ascii="宋体" w:hAnsi="宋体" w:cs="宋体"/>
          <w:color w:val="auto"/>
          <w:sz w:val="28"/>
          <w:szCs w:val="28"/>
          <w:highlight w:val="none"/>
        </w:rPr>
        <w:t>项 目 地 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pPr>
        <w:tabs>
          <w:tab w:val="left" w:pos="1100"/>
        </w:tabs>
        <w:spacing w:line="560" w:lineRule="exact"/>
        <w:ind w:firstLine="980" w:firstLineChars="350"/>
        <w:rPr>
          <w:rFonts w:ascii="宋体" w:hAnsi="宋体" w:cs="宋体"/>
          <w:color w:val="auto"/>
          <w:sz w:val="28"/>
          <w:szCs w:val="28"/>
          <w:highlight w:val="none"/>
        </w:rPr>
      </w:pPr>
    </w:p>
    <w:p>
      <w:pPr>
        <w:tabs>
          <w:tab w:val="left" w:pos="1100"/>
        </w:tabs>
        <w:spacing w:line="560" w:lineRule="exact"/>
        <w:ind w:firstLine="980" w:firstLineChars="350"/>
        <w:rPr>
          <w:rFonts w:ascii="宋体" w:hAnsi="宋体" w:cs="宋体"/>
          <w:color w:val="auto"/>
          <w:sz w:val="28"/>
          <w:szCs w:val="28"/>
          <w:highlight w:val="none"/>
          <w:u w:val="single"/>
        </w:rPr>
      </w:pPr>
      <w:r>
        <w:rPr>
          <w:rFonts w:hint="eastAsia" w:ascii="宋体" w:hAnsi="宋体" w:cs="宋体"/>
          <w:color w:val="auto"/>
          <w:sz w:val="28"/>
          <w:szCs w:val="28"/>
          <w:highlight w:val="none"/>
        </w:rPr>
        <w:t>委   托  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pPr>
        <w:tabs>
          <w:tab w:val="left" w:pos="1100"/>
        </w:tabs>
        <w:spacing w:line="560" w:lineRule="exact"/>
        <w:ind w:firstLine="980" w:firstLineChars="350"/>
        <w:rPr>
          <w:rFonts w:ascii="宋体" w:hAnsi="宋体" w:cs="宋体"/>
          <w:color w:val="auto"/>
          <w:sz w:val="28"/>
          <w:szCs w:val="28"/>
          <w:highlight w:val="none"/>
        </w:rPr>
      </w:pPr>
    </w:p>
    <w:p>
      <w:pPr>
        <w:tabs>
          <w:tab w:val="left" w:pos="1100"/>
        </w:tabs>
        <w:spacing w:line="560" w:lineRule="exact"/>
        <w:ind w:firstLine="980" w:firstLineChars="350"/>
        <w:rPr>
          <w:rFonts w:ascii="宋体" w:hAnsi="宋体" w:cs="宋体"/>
          <w:color w:val="auto"/>
          <w:sz w:val="28"/>
          <w:szCs w:val="28"/>
          <w:highlight w:val="none"/>
          <w:u w:val="single"/>
        </w:rPr>
      </w:pPr>
      <w:r>
        <w:rPr>
          <w:rFonts w:hint="eastAsia" w:ascii="宋体" w:hAnsi="宋体" w:cs="宋体"/>
          <w:color w:val="auto"/>
          <w:sz w:val="28"/>
          <w:szCs w:val="28"/>
          <w:highlight w:val="none"/>
        </w:rPr>
        <w:t>顾   问  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          </w:t>
      </w:r>
    </w:p>
    <w:p>
      <w:pPr>
        <w:tabs>
          <w:tab w:val="left" w:pos="1100"/>
        </w:tabs>
        <w:spacing w:line="560" w:lineRule="exact"/>
        <w:ind w:firstLine="980" w:firstLineChars="350"/>
        <w:rPr>
          <w:rFonts w:ascii="宋体" w:hAnsi="宋体" w:cs="宋体"/>
          <w:color w:val="auto"/>
          <w:sz w:val="28"/>
          <w:szCs w:val="28"/>
          <w:highlight w:val="none"/>
          <w:u w:val="single"/>
        </w:rPr>
      </w:pPr>
    </w:p>
    <w:p>
      <w:pPr>
        <w:tabs>
          <w:tab w:val="left" w:pos="1100"/>
        </w:tabs>
        <w:spacing w:line="560" w:lineRule="exact"/>
        <w:ind w:firstLine="840" w:firstLineChars="300"/>
        <w:rPr>
          <w:rFonts w:ascii="宋体" w:hAnsi="宋体" w:cs="宋体"/>
          <w:color w:val="auto"/>
          <w:sz w:val="28"/>
          <w:szCs w:val="28"/>
          <w:highlight w:val="none"/>
        </w:rPr>
      </w:pPr>
    </w:p>
    <w:p>
      <w:pPr>
        <w:tabs>
          <w:tab w:val="left" w:pos="1100"/>
        </w:tabs>
        <w:spacing w:line="560" w:lineRule="exact"/>
        <w:ind w:firstLine="840" w:firstLineChars="300"/>
        <w:rPr>
          <w:rFonts w:ascii="宋体" w:hAnsi="宋体" w:cs="宋体"/>
          <w:color w:val="auto"/>
          <w:sz w:val="28"/>
          <w:szCs w:val="28"/>
          <w:highlight w:val="none"/>
          <w:u w:val="single"/>
        </w:rPr>
      </w:pPr>
      <w:r>
        <w:rPr>
          <w:rFonts w:hint="eastAsia" w:ascii="宋体" w:hAnsi="宋体" w:cs="宋体"/>
          <w:color w:val="auto"/>
          <w:sz w:val="28"/>
          <w:szCs w:val="28"/>
          <w:highlight w:val="none"/>
        </w:rPr>
        <w:t>签订地点：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w:t>
      </w:r>
    </w:p>
    <w:p>
      <w:pPr>
        <w:tabs>
          <w:tab w:val="left" w:pos="1100"/>
        </w:tabs>
        <w:spacing w:line="560" w:lineRule="exact"/>
        <w:ind w:firstLine="840" w:firstLineChars="300"/>
        <w:rPr>
          <w:rFonts w:ascii="宋体" w:hAnsi="宋体" w:cs="宋体"/>
          <w:color w:val="auto"/>
          <w:sz w:val="28"/>
          <w:szCs w:val="28"/>
          <w:highlight w:val="none"/>
        </w:rPr>
      </w:pPr>
    </w:p>
    <w:p>
      <w:pPr>
        <w:tabs>
          <w:tab w:val="left" w:pos="1100"/>
        </w:tabs>
        <w:spacing w:line="560" w:lineRule="exact"/>
        <w:ind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签订日期：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tabs>
          <w:tab w:val="left" w:pos="1100"/>
        </w:tabs>
        <w:spacing w:line="560" w:lineRule="exact"/>
        <w:ind w:firstLine="840" w:firstLineChars="300"/>
        <w:rPr>
          <w:rFonts w:ascii="宋体" w:hAnsi="宋体" w:cs="宋体"/>
          <w:color w:val="auto"/>
          <w:sz w:val="28"/>
          <w:szCs w:val="28"/>
          <w:highlight w:val="none"/>
        </w:rPr>
      </w:pPr>
    </w:p>
    <w:p>
      <w:pPr>
        <w:tabs>
          <w:tab w:val="left" w:pos="1100"/>
        </w:tabs>
        <w:spacing w:line="560" w:lineRule="exact"/>
        <w:ind w:firstLine="840" w:firstLineChars="300"/>
        <w:rPr>
          <w:rFonts w:ascii="宋体" w:hAnsi="宋体" w:cs="宋体"/>
          <w:color w:val="auto"/>
          <w:sz w:val="30"/>
          <w:szCs w:val="22"/>
          <w:highlight w:val="none"/>
        </w:rPr>
      </w:pPr>
      <w:r>
        <w:rPr>
          <w:rFonts w:hint="eastAsia" w:ascii="宋体" w:hAnsi="宋体" w:cs="宋体"/>
          <w:color w:val="auto"/>
          <w:sz w:val="28"/>
          <w:szCs w:val="28"/>
          <w:highlight w:val="none"/>
        </w:rPr>
        <w:t>有效期限：</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日至</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rPr>
          <w:rFonts w:ascii="黑体" w:eastAsia="黑体"/>
          <w:b/>
          <w:color w:val="auto"/>
          <w:sz w:val="36"/>
          <w:szCs w:val="36"/>
          <w:highlight w:val="none"/>
        </w:rPr>
      </w:pPr>
      <w:bookmarkStart w:id="32" w:name="_Toc152042554"/>
      <w:bookmarkStart w:id="33" w:name="_Toc179632789"/>
      <w:bookmarkStart w:id="34" w:name="_Toc228163250"/>
      <w:bookmarkStart w:id="35" w:name="_Toc144974834"/>
      <w:bookmarkStart w:id="36" w:name="_Toc152045772"/>
      <w:r>
        <w:rPr>
          <w:rFonts w:hint="eastAsia" w:ascii="黑体" w:eastAsia="黑体"/>
          <w:b/>
          <w:color w:val="auto"/>
          <w:sz w:val="36"/>
          <w:szCs w:val="36"/>
          <w:highlight w:val="none"/>
        </w:rPr>
        <w:br w:type="page"/>
      </w:r>
    </w:p>
    <w:bookmarkEnd w:id="32"/>
    <w:bookmarkEnd w:id="33"/>
    <w:bookmarkEnd w:id="34"/>
    <w:bookmarkEnd w:id="35"/>
    <w:bookmarkEnd w:id="36"/>
    <w:p>
      <w:pPr>
        <w:keepNext w:val="0"/>
        <w:keepLines w:val="0"/>
        <w:pageBreakBefore w:val="0"/>
        <w:kinsoku/>
        <w:wordWrap/>
        <w:overflowPunct/>
        <w:topLinePunct w:val="0"/>
        <w:bidi w:val="0"/>
        <w:snapToGrid w:val="0"/>
        <w:spacing w:before="156" w:beforeLines="50" w:after="156" w:afterLines="50" w:line="400" w:lineRule="exact"/>
        <w:jc w:val="center"/>
        <w:textAlignment w:val="auto"/>
        <w:rPr>
          <w:rFonts w:asciiTheme="majorEastAsia" w:hAnsiTheme="majorEastAsia" w:eastAsiaTheme="majorEastAsia"/>
          <w:b/>
          <w:color w:val="auto"/>
          <w:sz w:val="36"/>
          <w:szCs w:val="36"/>
          <w:highlight w:val="none"/>
        </w:rPr>
      </w:pPr>
      <w:r>
        <w:rPr>
          <w:rFonts w:hint="eastAsia" w:asciiTheme="majorEastAsia" w:hAnsiTheme="majorEastAsia" w:eastAsiaTheme="majorEastAsia"/>
          <w:b/>
          <w:color w:val="auto"/>
          <w:sz w:val="36"/>
          <w:szCs w:val="36"/>
          <w:highlight w:val="none"/>
        </w:rPr>
        <w:t>服务类</w:t>
      </w:r>
    </w:p>
    <w:p>
      <w:pPr>
        <w:keepNext w:val="0"/>
        <w:keepLines w:val="0"/>
        <w:pageBreakBefore w:val="0"/>
        <w:widowControl/>
        <w:shd w:val="clear" w:color="auto" w:fill="FFFFFF"/>
        <w:kinsoku/>
        <w:wordWrap/>
        <w:overflowPunct/>
        <w:topLinePunct w:val="0"/>
        <w:bidi w:val="0"/>
        <w:spacing w:after="150" w:line="400" w:lineRule="exact"/>
        <w:ind w:firstLine="480"/>
        <w:jc w:val="left"/>
        <w:textAlignment w:val="auto"/>
        <w:rPr>
          <w:rFonts w:ascii="宋体" w:hAnsi="宋体"/>
          <w:color w:val="auto"/>
          <w:sz w:val="24"/>
          <w:highlight w:val="none"/>
        </w:rPr>
      </w:pPr>
      <w:r>
        <w:rPr>
          <w:rFonts w:ascii="宋体" w:hAnsi="宋体"/>
          <w:color w:val="auto"/>
          <w:sz w:val="24"/>
          <w:highlight w:val="none"/>
        </w:rPr>
        <w:t>以下为成交后签定本项目合同的通用条款，成交供应商不得提出实质性的修改，关于专用条款将由采购人与成交供应商结合本项目具体情况协商后签订。</w:t>
      </w:r>
    </w:p>
    <w:p>
      <w:pPr>
        <w:pStyle w:val="13"/>
        <w:keepNext w:val="0"/>
        <w:keepLines w:val="0"/>
        <w:pageBreakBefore w:val="0"/>
        <w:kinsoku/>
        <w:wordWrap/>
        <w:overflowPunct/>
        <w:topLinePunct w:val="0"/>
        <w:bidi w:val="0"/>
        <w:snapToGrid w:val="0"/>
        <w:spacing w:before="120" w:after="120" w:line="400" w:lineRule="exact"/>
        <w:textAlignment w:val="auto"/>
        <w:rPr>
          <w:rFonts w:hAnsi="宋体"/>
          <w:color w:val="auto"/>
          <w:sz w:val="24"/>
          <w:highlight w:val="none"/>
        </w:rPr>
      </w:pPr>
      <w:r>
        <w:rPr>
          <w:rFonts w:hAnsi="宋体"/>
          <w:color w:val="auto"/>
          <w:sz w:val="24"/>
          <w:highlight w:val="none"/>
        </w:rPr>
        <w:t xml:space="preserve">项目名称：                                  </w:t>
      </w:r>
      <w:r>
        <w:rPr>
          <w:rFonts w:hint="eastAsia" w:hAnsi="宋体"/>
          <w:color w:val="auto"/>
          <w:sz w:val="24"/>
          <w:highlight w:val="none"/>
        </w:rPr>
        <w:t xml:space="preserve"> </w:t>
      </w:r>
      <w:r>
        <w:rPr>
          <w:rFonts w:hAnsi="宋体"/>
          <w:color w:val="auto"/>
          <w:sz w:val="24"/>
          <w:highlight w:val="none"/>
        </w:rPr>
        <w:t>项目编号：</w:t>
      </w:r>
    </w:p>
    <w:p>
      <w:pPr>
        <w:pStyle w:val="13"/>
        <w:keepNext w:val="0"/>
        <w:keepLines w:val="0"/>
        <w:pageBreakBefore w:val="0"/>
        <w:kinsoku/>
        <w:wordWrap/>
        <w:overflowPunct/>
        <w:topLinePunct w:val="0"/>
        <w:bidi w:val="0"/>
        <w:snapToGrid w:val="0"/>
        <w:spacing w:before="120" w:after="120" w:line="400" w:lineRule="exact"/>
        <w:textAlignment w:val="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pPr>
        <w:pStyle w:val="13"/>
        <w:keepNext w:val="0"/>
        <w:keepLines w:val="0"/>
        <w:pageBreakBefore w:val="0"/>
        <w:kinsoku/>
        <w:wordWrap/>
        <w:overflowPunct/>
        <w:topLinePunct w:val="0"/>
        <w:bidi w:val="0"/>
        <w:snapToGrid w:val="0"/>
        <w:spacing w:before="120" w:after="120" w:line="400" w:lineRule="exact"/>
        <w:textAlignment w:val="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中标供应商</w:t>
      </w:r>
      <w:r>
        <w:rPr>
          <w:rFonts w:hAnsi="宋体"/>
          <w:color w:val="auto"/>
          <w:sz w:val="24"/>
          <w:highlight w:val="none"/>
        </w:rPr>
        <w:t>）</w:t>
      </w:r>
      <w:r>
        <w:rPr>
          <w:rFonts w:hint="eastAsia" w:hAnsi="宋体"/>
          <w:color w:val="auto"/>
          <w:sz w:val="24"/>
          <w:highlight w:val="none"/>
        </w:rPr>
        <w:t xml:space="preserve">                          所在地：</w:t>
      </w:r>
    </w:p>
    <w:p>
      <w:pPr>
        <w:keepNext w:val="0"/>
        <w:keepLines w:val="0"/>
        <w:pageBreakBefore w:val="0"/>
        <w:widowControl/>
        <w:shd w:val="clear" w:color="auto" w:fill="FFFFFF"/>
        <w:kinsoku/>
        <w:wordWrap/>
        <w:overflowPunct/>
        <w:topLinePunct w:val="0"/>
        <w:bidi w:val="0"/>
        <w:spacing w:after="150" w:line="400" w:lineRule="exact"/>
        <w:ind w:firstLine="480" w:firstLineChars="200"/>
        <w:jc w:val="left"/>
        <w:textAlignment w:val="auto"/>
        <w:rPr>
          <w:rFonts w:ascii="宋体" w:hAnsi="宋体"/>
          <w:color w:val="auto"/>
          <w:sz w:val="24"/>
          <w:highlight w:val="none"/>
        </w:rPr>
      </w:pPr>
      <w:r>
        <w:rPr>
          <w:rFonts w:ascii="宋体" w:hAnsi="宋体"/>
          <w:color w:val="auto"/>
          <w:sz w:val="24"/>
          <w:highlight w:val="none"/>
        </w:rPr>
        <w:t>甲、乙双方根据</w:t>
      </w:r>
      <w:r>
        <w:rPr>
          <w:rFonts w:hint="eastAsia" w:cs="Arial"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cs="Arial" w:asciiTheme="minorEastAsia" w:hAnsiTheme="minorEastAsia" w:eastAsiaTheme="minorEastAsia"/>
          <w:color w:val="auto"/>
          <w:sz w:val="24"/>
          <w:highlight w:val="none"/>
          <w:u w:val="single"/>
        </w:rPr>
        <w:t xml:space="preserve">        </w:t>
      </w:r>
      <w:r>
        <w:rPr>
          <w:rFonts w:ascii="宋体" w:hAnsi="宋体"/>
          <w:color w:val="auto"/>
          <w:sz w:val="24"/>
          <w:highlight w:val="none"/>
        </w:rPr>
        <w:t>项目</w:t>
      </w:r>
      <w:r>
        <w:rPr>
          <w:rFonts w:hint="eastAsia" w:ascii="宋体" w:hAnsi="宋体"/>
          <w:color w:val="auto"/>
          <w:sz w:val="24"/>
          <w:highlight w:val="none"/>
        </w:rPr>
        <w:t>公开招标</w:t>
      </w:r>
      <w:r>
        <w:rPr>
          <w:rFonts w:ascii="宋体" w:hAnsi="宋体"/>
          <w:color w:val="auto"/>
          <w:sz w:val="24"/>
          <w:highlight w:val="none"/>
        </w:rPr>
        <w:t>的结果，签署本合同。</w:t>
      </w:r>
    </w:p>
    <w:p>
      <w:pPr>
        <w:keepNext w:val="0"/>
        <w:keepLines w:val="0"/>
        <w:pageBreakBefore w:val="0"/>
        <w:kinsoku/>
        <w:wordWrap/>
        <w:overflowPunct/>
        <w:topLinePunct w:val="0"/>
        <w:bidi w:val="0"/>
        <w:spacing w:line="400" w:lineRule="exact"/>
        <w:textAlignment w:val="auto"/>
        <w:rPr>
          <w:rFonts w:ascii="宋体"/>
          <w:color w:val="auto"/>
          <w:sz w:val="24"/>
          <w:highlight w:val="none"/>
          <w:lang w:val="zh-CN"/>
        </w:rPr>
      </w:pPr>
      <w:r>
        <w:rPr>
          <w:rFonts w:hint="eastAsia" w:ascii="宋体"/>
          <w:color w:val="auto"/>
          <w:sz w:val="24"/>
          <w:highlight w:val="none"/>
          <w:lang w:val="zh-CN"/>
        </w:rPr>
        <w:t xml:space="preserve">一、合同文件： </w:t>
      </w:r>
    </w:p>
    <w:p>
      <w:pPr>
        <w:keepNext w:val="0"/>
        <w:keepLines w:val="0"/>
        <w:pageBreakBefore w:val="0"/>
        <w:kinsoku/>
        <w:wordWrap/>
        <w:overflowPunct/>
        <w:topLinePunct w:val="0"/>
        <w:bidi w:val="0"/>
        <w:spacing w:line="400" w:lineRule="exact"/>
        <w:ind w:firstLine="480" w:firstLineChars="200"/>
        <w:textAlignment w:val="auto"/>
        <w:rPr>
          <w:rFonts w:ascii="宋体"/>
          <w:color w:val="auto"/>
          <w:sz w:val="24"/>
          <w:highlight w:val="none"/>
          <w:lang w:val="zh-CN"/>
        </w:rPr>
      </w:pPr>
      <w:r>
        <w:rPr>
          <w:rFonts w:hint="eastAsia" w:ascii="宋体"/>
          <w:color w:val="auto"/>
          <w:sz w:val="24"/>
          <w:highlight w:val="none"/>
          <w:lang w:val="zh-CN"/>
        </w:rPr>
        <w:t>1.合同条款。</w:t>
      </w:r>
    </w:p>
    <w:p>
      <w:pPr>
        <w:keepNext w:val="0"/>
        <w:keepLines w:val="0"/>
        <w:pageBreakBefore w:val="0"/>
        <w:kinsoku/>
        <w:wordWrap/>
        <w:overflowPunct/>
        <w:topLinePunct w:val="0"/>
        <w:bidi w:val="0"/>
        <w:spacing w:line="400" w:lineRule="exact"/>
        <w:ind w:firstLine="480" w:firstLineChars="200"/>
        <w:textAlignment w:val="auto"/>
        <w:rPr>
          <w:rFonts w:ascii="宋体"/>
          <w:color w:val="auto"/>
          <w:sz w:val="24"/>
          <w:highlight w:val="none"/>
          <w:lang w:val="zh-CN"/>
        </w:rPr>
      </w:pPr>
      <w:r>
        <w:rPr>
          <w:rFonts w:hint="eastAsia" w:ascii="宋体"/>
          <w:color w:val="auto"/>
          <w:sz w:val="24"/>
          <w:highlight w:val="none"/>
          <w:lang w:val="zh-CN"/>
        </w:rPr>
        <w:t>2.中标通知书。</w:t>
      </w:r>
    </w:p>
    <w:p>
      <w:pPr>
        <w:keepNext w:val="0"/>
        <w:keepLines w:val="0"/>
        <w:pageBreakBefore w:val="0"/>
        <w:kinsoku/>
        <w:wordWrap/>
        <w:overflowPunct/>
        <w:topLinePunct w:val="0"/>
        <w:bidi w:val="0"/>
        <w:spacing w:line="400" w:lineRule="exact"/>
        <w:ind w:firstLine="480" w:firstLineChars="200"/>
        <w:textAlignment w:val="auto"/>
        <w:rPr>
          <w:rFonts w:ascii="宋体"/>
          <w:color w:val="auto"/>
          <w:sz w:val="24"/>
          <w:highlight w:val="none"/>
          <w:lang w:val="zh-CN"/>
        </w:rPr>
      </w:pPr>
      <w:r>
        <w:rPr>
          <w:rFonts w:hint="eastAsia" w:ascii="宋体"/>
          <w:color w:val="auto"/>
          <w:sz w:val="24"/>
          <w:highlight w:val="none"/>
          <w:lang w:val="zh-CN"/>
        </w:rPr>
        <w:t>3.更正补充文件。</w:t>
      </w:r>
    </w:p>
    <w:p>
      <w:pPr>
        <w:keepNext w:val="0"/>
        <w:keepLines w:val="0"/>
        <w:pageBreakBefore w:val="0"/>
        <w:kinsoku/>
        <w:wordWrap/>
        <w:overflowPunct/>
        <w:topLinePunct w:val="0"/>
        <w:bidi w:val="0"/>
        <w:spacing w:line="400" w:lineRule="exact"/>
        <w:ind w:firstLine="480" w:firstLineChars="200"/>
        <w:textAlignment w:val="auto"/>
        <w:rPr>
          <w:rFonts w:ascii="宋体"/>
          <w:color w:val="auto"/>
          <w:sz w:val="24"/>
          <w:highlight w:val="none"/>
          <w:lang w:val="zh-CN"/>
        </w:rPr>
      </w:pPr>
      <w:r>
        <w:rPr>
          <w:rFonts w:hint="eastAsia" w:ascii="宋体"/>
          <w:color w:val="auto"/>
          <w:sz w:val="24"/>
          <w:highlight w:val="none"/>
          <w:lang w:val="zh-CN"/>
        </w:rPr>
        <w:t>4.招标文件。</w:t>
      </w:r>
    </w:p>
    <w:p>
      <w:pPr>
        <w:keepNext w:val="0"/>
        <w:keepLines w:val="0"/>
        <w:pageBreakBefore w:val="0"/>
        <w:kinsoku/>
        <w:wordWrap/>
        <w:overflowPunct/>
        <w:topLinePunct w:val="0"/>
        <w:bidi w:val="0"/>
        <w:spacing w:line="400" w:lineRule="exact"/>
        <w:ind w:firstLine="480" w:firstLineChars="200"/>
        <w:textAlignment w:val="auto"/>
        <w:rPr>
          <w:rFonts w:ascii="宋体"/>
          <w:color w:val="auto"/>
          <w:sz w:val="24"/>
          <w:highlight w:val="none"/>
          <w:lang w:val="zh-CN"/>
        </w:rPr>
      </w:pPr>
      <w:r>
        <w:rPr>
          <w:rFonts w:hint="eastAsia" w:ascii="宋体"/>
          <w:color w:val="auto"/>
          <w:sz w:val="24"/>
          <w:highlight w:val="none"/>
          <w:lang w:val="zh-CN"/>
        </w:rPr>
        <w:t>5.中标供应商投标文件。</w:t>
      </w:r>
    </w:p>
    <w:p>
      <w:pPr>
        <w:keepNext w:val="0"/>
        <w:keepLines w:val="0"/>
        <w:pageBreakBefore w:val="0"/>
        <w:kinsoku/>
        <w:wordWrap/>
        <w:overflowPunct/>
        <w:topLinePunct w:val="0"/>
        <w:bidi w:val="0"/>
        <w:spacing w:line="400" w:lineRule="exact"/>
        <w:ind w:firstLine="480" w:firstLineChars="200"/>
        <w:textAlignment w:val="auto"/>
        <w:rPr>
          <w:rFonts w:ascii="宋体"/>
          <w:color w:val="auto"/>
          <w:sz w:val="24"/>
          <w:highlight w:val="none"/>
          <w:lang w:val="zh-CN"/>
        </w:rPr>
      </w:pPr>
      <w:r>
        <w:rPr>
          <w:rFonts w:hint="eastAsia" w:ascii="宋体"/>
          <w:color w:val="auto"/>
          <w:sz w:val="24"/>
          <w:highlight w:val="none"/>
          <w:lang w:val="zh-CN"/>
        </w:rPr>
        <w:t>6.其他。</w:t>
      </w:r>
    </w:p>
    <w:p>
      <w:pPr>
        <w:pStyle w:val="13"/>
        <w:keepNext w:val="0"/>
        <w:keepLines w:val="0"/>
        <w:pageBreakBefore w:val="0"/>
        <w:kinsoku/>
        <w:wordWrap/>
        <w:overflowPunct/>
        <w:topLinePunct w:val="0"/>
        <w:bidi w:val="0"/>
        <w:snapToGrid w:val="0"/>
        <w:spacing w:line="400" w:lineRule="exact"/>
        <w:ind w:firstLine="480" w:firstLineChars="200"/>
        <w:textAlignment w:val="auto"/>
        <w:rPr>
          <w:rFonts w:hAnsi="Times New Roman"/>
          <w:color w:val="auto"/>
          <w:sz w:val="24"/>
          <w:highlight w:val="none"/>
          <w:lang w:val="zh-CN"/>
        </w:rPr>
      </w:pPr>
      <w:r>
        <w:rPr>
          <w:rFonts w:hint="eastAsia"/>
          <w:color w:val="auto"/>
          <w:sz w:val="24"/>
          <w:highlight w:val="none"/>
          <w:lang w:val="zh-CN"/>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after="150" w:line="400" w:lineRule="exact"/>
        <w:jc w:val="left"/>
        <w:textAlignment w:val="auto"/>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合同内容及服务标准</w:t>
      </w:r>
    </w:p>
    <w:p>
      <w:pPr>
        <w:keepNext w:val="0"/>
        <w:keepLines w:val="0"/>
        <w:pageBreakBefore w:val="0"/>
        <w:widowControl/>
        <w:shd w:val="clear" w:color="auto" w:fill="FFFFFF"/>
        <w:kinsoku/>
        <w:wordWrap/>
        <w:overflowPunct/>
        <w:topLinePunct w:val="0"/>
        <w:bidi w:val="0"/>
        <w:spacing w:after="150" w:line="400" w:lineRule="exact"/>
        <w:ind w:firstLine="480"/>
        <w:jc w:val="left"/>
        <w:textAlignment w:val="auto"/>
        <w:rPr>
          <w:rFonts w:ascii="宋体" w:hAnsi="宋体" w:cs="Arial"/>
          <w:color w:val="auto"/>
          <w:kern w:val="0"/>
          <w:sz w:val="24"/>
          <w:highlight w:val="none"/>
        </w:rPr>
      </w:pPr>
      <w:r>
        <w:rPr>
          <w:rFonts w:ascii="宋体" w:hAnsi="宋体" w:cs="Arial"/>
          <w:color w:val="auto"/>
          <w:kern w:val="0"/>
          <w:sz w:val="24"/>
          <w:highlight w:val="none"/>
        </w:rPr>
        <w:t>（具体见项目需求）</w:t>
      </w:r>
    </w:p>
    <w:p>
      <w:pPr>
        <w:pStyle w:val="13"/>
        <w:keepNext w:val="0"/>
        <w:keepLines w:val="0"/>
        <w:pageBreakBefore w:val="0"/>
        <w:kinsoku/>
        <w:wordWrap/>
        <w:overflowPunct/>
        <w:topLinePunct w:val="0"/>
        <w:bidi w:val="0"/>
        <w:snapToGrid w:val="0"/>
        <w:spacing w:before="120" w:after="120" w:line="400" w:lineRule="exact"/>
        <w:textAlignment w:val="auto"/>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r>
        <w:rPr>
          <w:rFonts w:hint="eastAsia" w:hAnsi="宋体"/>
          <w:b/>
          <w:color w:val="auto"/>
          <w:sz w:val="24"/>
          <w:highlight w:val="none"/>
        </w:rPr>
        <w:t>和进度要求</w:t>
      </w:r>
    </w:p>
    <w:p>
      <w:pPr>
        <w:pStyle w:val="13"/>
        <w:keepNext w:val="0"/>
        <w:keepLines w:val="0"/>
        <w:pageBreakBefore w:val="0"/>
        <w:kinsoku/>
        <w:wordWrap/>
        <w:overflowPunct/>
        <w:topLinePunct w:val="0"/>
        <w:bidi w:val="0"/>
        <w:snapToGrid w:val="0"/>
        <w:spacing w:before="120" w:after="120" w:line="400" w:lineRule="exact"/>
        <w:ind w:left="412" w:hanging="412" w:hangingChars="171"/>
        <w:textAlignment w:val="auto"/>
        <w:rPr>
          <w:rFonts w:hAnsi="宋体"/>
          <w:color w:val="auto"/>
          <w:sz w:val="24"/>
          <w:highlight w:val="none"/>
        </w:rPr>
      </w:pPr>
      <w:r>
        <w:rPr>
          <w:rFonts w:hint="eastAsia" w:hAnsi="宋体"/>
          <w:b/>
          <w:bCs/>
          <w:color w:val="auto"/>
          <w:sz w:val="24"/>
          <w:highlight w:val="none"/>
        </w:rPr>
        <w:t>1、</w:t>
      </w:r>
      <w:r>
        <w:rPr>
          <w:rFonts w:hAnsi="宋体"/>
          <w:b/>
          <w:bCs/>
          <w:color w:val="auto"/>
          <w:sz w:val="24"/>
          <w:highlight w:val="none"/>
        </w:rPr>
        <w:t>本合同金额为</w:t>
      </w:r>
      <w:r>
        <w:rPr>
          <w:rFonts w:hAnsi="宋体"/>
          <w:color w:val="auto"/>
          <w:sz w:val="24"/>
          <w:highlight w:val="none"/>
        </w:rPr>
        <w:t>（大写）：_________________元（￥__________元）人民币。</w:t>
      </w:r>
    </w:p>
    <w:p>
      <w:pPr>
        <w:pStyle w:val="13"/>
        <w:keepNext w:val="0"/>
        <w:keepLines w:val="0"/>
        <w:pageBreakBefore w:val="0"/>
        <w:numPr>
          <w:ilvl w:val="0"/>
          <w:numId w:val="10"/>
        </w:numPr>
        <w:kinsoku/>
        <w:wordWrap/>
        <w:overflowPunct/>
        <w:topLinePunct w:val="0"/>
        <w:bidi w:val="0"/>
        <w:snapToGrid w:val="0"/>
        <w:spacing w:before="120" w:after="120" w:line="400" w:lineRule="exact"/>
        <w:ind w:left="412" w:hanging="412" w:hangingChars="171"/>
        <w:textAlignment w:val="auto"/>
        <w:rPr>
          <w:rFonts w:hAnsi="宋体"/>
          <w:b/>
          <w:bCs w:val="0"/>
          <w:color w:val="auto"/>
          <w:sz w:val="24"/>
          <w:highlight w:val="none"/>
        </w:rPr>
      </w:pPr>
      <w:r>
        <w:rPr>
          <w:rFonts w:hint="eastAsia" w:hAnsi="宋体"/>
          <w:b/>
          <w:bCs w:val="0"/>
          <w:color w:val="auto"/>
          <w:sz w:val="24"/>
          <w:highlight w:val="none"/>
        </w:rPr>
        <w:t>进度要求：</w:t>
      </w:r>
    </w:p>
    <w:p>
      <w:pPr>
        <w:pStyle w:val="13"/>
        <w:keepNext w:val="0"/>
        <w:keepLines w:val="0"/>
        <w:pageBreakBefore w:val="0"/>
        <w:numPr>
          <w:ilvl w:val="0"/>
          <w:numId w:val="0"/>
        </w:numPr>
        <w:kinsoku/>
        <w:wordWrap/>
        <w:overflowPunct/>
        <w:topLinePunct w:val="0"/>
        <w:bidi w:val="0"/>
        <w:snapToGrid w:val="0"/>
        <w:spacing w:before="120" w:after="120" w:line="400" w:lineRule="exact"/>
        <w:textAlignment w:val="auto"/>
        <w:rPr>
          <w:rFonts w:hAnsi="宋体"/>
          <w:color w:val="auto"/>
          <w:sz w:val="24"/>
          <w:highlight w:val="none"/>
        </w:rPr>
      </w:pPr>
      <w:r>
        <w:rPr>
          <w:rFonts w:hint="eastAsia" w:asciiTheme="minorEastAsia" w:hAnsiTheme="minorEastAsia" w:eastAsiaTheme="minorEastAsia"/>
          <w:bCs/>
          <w:color w:val="auto"/>
          <w:sz w:val="24"/>
          <w:highlight w:val="none"/>
          <w:lang w:val="en-US" w:eastAsia="zh-CN"/>
        </w:rPr>
        <w:t>2020年10月底前完成与玉环市已建的水利数据中心无缝对接，并完成数据互通</w:t>
      </w:r>
      <w:r>
        <w:rPr>
          <w:rFonts w:hint="eastAsia" w:hAnsi="宋体"/>
          <w:color w:val="auto"/>
          <w:sz w:val="24"/>
          <w:highlight w:val="none"/>
        </w:rPr>
        <w:t>。</w:t>
      </w:r>
    </w:p>
    <w:p>
      <w:pPr>
        <w:keepNext w:val="0"/>
        <w:keepLines w:val="0"/>
        <w:pageBreakBefore w:val="0"/>
        <w:widowControl/>
        <w:shd w:val="clear" w:color="auto" w:fill="FFFFFF"/>
        <w:kinsoku/>
        <w:wordWrap/>
        <w:overflowPunct/>
        <w:topLinePunct w:val="0"/>
        <w:bidi w:val="0"/>
        <w:spacing w:after="150" w:line="400" w:lineRule="exact"/>
        <w:jc w:val="left"/>
        <w:textAlignment w:val="auto"/>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pPr>
        <w:pStyle w:val="18"/>
        <w:keepNext w:val="0"/>
        <w:keepLines w:val="0"/>
        <w:pageBreakBefore w:val="0"/>
        <w:shd w:val="clear" w:color="auto" w:fill="FFFFFF"/>
        <w:kinsoku/>
        <w:wordWrap/>
        <w:overflowPunct/>
        <w:topLinePunct w:val="0"/>
        <w:bidi w:val="0"/>
        <w:spacing w:before="0" w:beforeAutospacing="0" w:after="150" w:afterAutospacing="0" w:line="400" w:lineRule="exact"/>
        <w:ind w:firstLine="480"/>
        <w:textAlignment w:val="auto"/>
        <w:rPr>
          <w:rFonts w:hint="default" w:cs="Arial"/>
          <w:color w:val="auto"/>
          <w:highlight w:val="none"/>
        </w:rPr>
      </w:pPr>
      <w:r>
        <w:rPr>
          <w:rFonts w:cs="Arial"/>
          <w:color w:val="auto"/>
          <w:highlight w:val="none"/>
        </w:rPr>
        <w:t>（一）甲方责任</w:t>
      </w:r>
    </w:p>
    <w:p>
      <w:pPr>
        <w:pStyle w:val="18"/>
        <w:keepNext w:val="0"/>
        <w:keepLines w:val="0"/>
        <w:pageBreakBefore w:val="0"/>
        <w:shd w:val="clear" w:color="auto" w:fill="FFFFFF"/>
        <w:kinsoku/>
        <w:wordWrap/>
        <w:overflowPunct/>
        <w:topLinePunct w:val="0"/>
        <w:bidi w:val="0"/>
        <w:spacing w:before="0" w:beforeAutospacing="0" w:after="150" w:afterAutospacing="0" w:line="400" w:lineRule="exact"/>
        <w:ind w:firstLine="480"/>
        <w:textAlignment w:val="auto"/>
        <w:rPr>
          <w:rFonts w:hint="default" w:cs="Arial"/>
          <w:color w:val="auto"/>
          <w:highlight w:val="none"/>
        </w:rPr>
      </w:pPr>
      <w:r>
        <w:rPr>
          <w:rFonts w:cs="Arial"/>
          <w:color w:val="auto"/>
          <w:highlight w:val="none"/>
        </w:rPr>
        <w:t>（根据招标结果确定）</w:t>
      </w:r>
    </w:p>
    <w:p>
      <w:pPr>
        <w:pStyle w:val="18"/>
        <w:keepNext w:val="0"/>
        <w:keepLines w:val="0"/>
        <w:pageBreakBefore w:val="0"/>
        <w:shd w:val="clear" w:color="auto" w:fill="FFFFFF"/>
        <w:kinsoku/>
        <w:wordWrap/>
        <w:overflowPunct/>
        <w:topLinePunct w:val="0"/>
        <w:bidi w:val="0"/>
        <w:spacing w:before="0" w:beforeAutospacing="0" w:after="150" w:afterAutospacing="0" w:line="400" w:lineRule="exact"/>
        <w:ind w:firstLine="480"/>
        <w:textAlignment w:val="auto"/>
        <w:rPr>
          <w:rFonts w:hint="default" w:cs="Arial"/>
          <w:color w:val="auto"/>
          <w:highlight w:val="none"/>
        </w:rPr>
      </w:pPr>
      <w:r>
        <w:rPr>
          <w:rFonts w:cs="Arial"/>
          <w:color w:val="auto"/>
          <w:highlight w:val="none"/>
        </w:rPr>
        <w:t>（二）乙方责任</w:t>
      </w:r>
    </w:p>
    <w:p>
      <w:pPr>
        <w:pStyle w:val="18"/>
        <w:keepNext w:val="0"/>
        <w:keepLines w:val="0"/>
        <w:pageBreakBefore w:val="0"/>
        <w:shd w:val="clear" w:color="auto" w:fill="FFFFFF"/>
        <w:kinsoku/>
        <w:wordWrap/>
        <w:overflowPunct/>
        <w:topLinePunct w:val="0"/>
        <w:bidi w:val="0"/>
        <w:spacing w:before="0" w:beforeAutospacing="0" w:after="150" w:afterAutospacing="0" w:line="400" w:lineRule="exact"/>
        <w:ind w:firstLine="480"/>
        <w:textAlignment w:val="auto"/>
        <w:rPr>
          <w:rFonts w:hint="default" w:cs="Arial"/>
          <w:color w:val="auto"/>
          <w:highlight w:val="none"/>
        </w:rPr>
      </w:pPr>
      <w:r>
        <w:rPr>
          <w:color w:val="auto"/>
          <w:highlight w:val="none"/>
        </w:rPr>
        <w:t>（根据招标结果确定）</w:t>
      </w:r>
    </w:p>
    <w:p>
      <w:pPr>
        <w:pStyle w:val="13"/>
        <w:keepNext w:val="0"/>
        <w:keepLines w:val="0"/>
        <w:pageBreakBefore w:val="0"/>
        <w:kinsoku/>
        <w:wordWrap/>
        <w:overflowPunct/>
        <w:topLinePunct w:val="0"/>
        <w:bidi w:val="0"/>
        <w:snapToGrid w:val="0"/>
        <w:spacing w:before="120" w:after="120" w:line="400" w:lineRule="exact"/>
        <w:textAlignment w:val="auto"/>
        <w:rPr>
          <w:rFonts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pPr>
        <w:pStyle w:val="13"/>
        <w:keepNext w:val="0"/>
        <w:keepLines w:val="0"/>
        <w:pageBreakBefore w:val="0"/>
        <w:kinsoku/>
        <w:wordWrap/>
        <w:overflowPunct/>
        <w:topLinePunct w:val="0"/>
        <w:bidi w:val="0"/>
        <w:snapToGrid w:val="0"/>
        <w:spacing w:before="120" w:after="120" w:line="400" w:lineRule="exact"/>
        <w:ind w:left="410" w:hanging="410" w:hangingChars="171"/>
        <w:textAlignment w:val="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乙方应按招标文件规定的时间向甲方提供有关技术资料。</w:t>
      </w:r>
    </w:p>
    <w:p>
      <w:pPr>
        <w:pStyle w:val="13"/>
        <w:keepNext w:val="0"/>
        <w:keepLines w:val="0"/>
        <w:pageBreakBefore w:val="0"/>
        <w:kinsoku/>
        <w:wordWrap/>
        <w:overflowPunct/>
        <w:topLinePunct w:val="0"/>
        <w:bidi w:val="0"/>
        <w:snapToGrid w:val="0"/>
        <w:spacing w:before="120" w:after="120" w:line="400" w:lineRule="exact"/>
        <w:ind w:left="410" w:hanging="410" w:hangingChars="171"/>
        <w:textAlignment w:val="auto"/>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keepNext w:val="0"/>
        <w:keepLines w:val="0"/>
        <w:pageBreakBefore w:val="0"/>
        <w:kinsoku/>
        <w:wordWrap/>
        <w:overflowPunct/>
        <w:topLinePunct w:val="0"/>
        <w:bidi w:val="0"/>
        <w:snapToGrid w:val="0"/>
        <w:spacing w:before="120" w:after="120" w:line="400" w:lineRule="exact"/>
        <w:ind w:left="412" w:hanging="412" w:hangingChars="171"/>
        <w:textAlignment w:val="auto"/>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pPr>
        <w:pStyle w:val="13"/>
        <w:keepNext w:val="0"/>
        <w:keepLines w:val="0"/>
        <w:pageBreakBefore w:val="0"/>
        <w:kinsoku/>
        <w:wordWrap/>
        <w:overflowPunct/>
        <w:topLinePunct w:val="0"/>
        <w:bidi w:val="0"/>
        <w:snapToGrid w:val="0"/>
        <w:spacing w:before="120" w:after="120" w:line="400" w:lineRule="exact"/>
        <w:ind w:firstLine="480" w:firstLineChars="200"/>
        <w:textAlignment w:val="auto"/>
        <w:rPr>
          <w:rFonts w:hAnsi="宋体"/>
          <w:b/>
          <w:bCs/>
          <w:color w:val="auto"/>
          <w:sz w:val="24"/>
          <w:highlight w:val="none"/>
        </w:rPr>
      </w:pPr>
      <w:r>
        <w:rPr>
          <w:rFonts w:hint="eastAsia" w:hAnsi="宋体"/>
          <w:color w:val="auto"/>
          <w:sz w:val="24"/>
          <w:highlight w:val="none"/>
        </w:rPr>
        <w:t>软件开发的版权问题：本项目完成的所用应用系统软件的源代码及其技术文档等研究开发成果归采购人所拥有。未经采购人同意，开发完成的软件及源代码不得扩散到其他任何地方</w:t>
      </w:r>
      <w:r>
        <w:rPr>
          <w:rFonts w:hAnsi="宋体"/>
          <w:color w:val="auto"/>
          <w:sz w:val="24"/>
          <w:highlight w:val="none"/>
        </w:rPr>
        <w:t>。</w:t>
      </w:r>
    </w:p>
    <w:p>
      <w:pPr>
        <w:pStyle w:val="13"/>
        <w:keepNext w:val="0"/>
        <w:keepLines w:val="0"/>
        <w:pageBreakBefore w:val="0"/>
        <w:kinsoku/>
        <w:wordWrap/>
        <w:overflowPunct/>
        <w:topLinePunct w:val="0"/>
        <w:bidi w:val="0"/>
        <w:snapToGrid w:val="0"/>
        <w:spacing w:before="120" w:after="120" w:line="400" w:lineRule="exact"/>
        <w:ind w:left="410" w:hanging="410" w:hangingChars="170"/>
        <w:textAlignment w:val="auto"/>
        <w:rPr>
          <w:rFonts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p>
    <w:p>
      <w:pPr>
        <w:keepNext w:val="0"/>
        <w:keepLines w:val="0"/>
        <w:pageBreakBefore w:val="0"/>
        <w:tabs>
          <w:tab w:val="left" w:pos="1418"/>
        </w:tabs>
        <w:kinsoku/>
        <w:wordWrap/>
        <w:overflowPunct/>
        <w:topLinePunct w:val="0"/>
        <w:autoSpaceDE w:val="0"/>
        <w:autoSpaceDN w:val="0"/>
        <w:bidi w:val="0"/>
        <w:adjustRightInd w:val="0"/>
        <w:spacing w:line="400" w:lineRule="exact"/>
        <w:ind w:firstLine="480" w:firstLineChars="200"/>
        <w:textAlignment w:val="auto"/>
        <w:rPr>
          <w:rFonts w:ascii="宋体" w:hAnsi="宋体" w:cstheme="minorBidi"/>
          <w:color w:val="auto"/>
          <w:sz w:val="24"/>
          <w:highlight w:val="none"/>
        </w:rPr>
      </w:pPr>
      <w:r>
        <w:rPr>
          <w:rFonts w:hint="eastAsia" w:ascii="宋体" w:hAnsi="宋体" w:cstheme="minorBidi"/>
          <w:color w:val="auto"/>
          <w:sz w:val="24"/>
          <w:highlight w:val="none"/>
        </w:rPr>
        <w:t>本项目</w:t>
      </w:r>
      <w:r>
        <w:rPr>
          <w:rFonts w:hint="eastAsia" w:ascii="宋体" w:hAnsi="宋体" w:cstheme="minorBidi"/>
          <w:color w:val="auto"/>
          <w:sz w:val="24"/>
          <w:highlight w:val="none"/>
          <w:lang w:eastAsia="zh-CN"/>
        </w:rPr>
        <w:t>不设</w:t>
      </w:r>
      <w:r>
        <w:rPr>
          <w:rFonts w:hint="eastAsia" w:ascii="宋体" w:hAnsi="宋体" w:cstheme="minorBidi"/>
          <w:color w:val="auto"/>
          <w:sz w:val="24"/>
          <w:highlight w:val="none"/>
        </w:rPr>
        <w:t>履约保证金。</w:t>
      </w:r>
    </w:p>
    <w:p>
      <w:pPr>
        <w:keepNext w:val="0"/>
        <w:keepLines w:val="0"/>
        <w:pageBreakBefore w:val="0"/>
        <w:kinsoku/>
        <w:wordWrap/>
        <w:overflowPunct/>
        <w:topLinePunct w:val="0"/>
        <w:bidi w:val="0"/>
        <w:snapToGrid w:val="0"/>
        <w:spacing w:before="156" w:beforeLines="50" w:after="156" w:afterLines="50" w:line="400" w:lineRule="exact"/>
        <w:textAlignment w:val="auto"/>
        <w:rPr>
          <w:rFonts w:ascii="宋体" w:hAnsi="宋体"/>
          <w:b/>
          <w:color w:val="auto"/>
          <w:sz w:val="24"/>
          <w:highlight w:val="none"/>
        </w:rPr>
      </w:pPr>
      <w:r>
        <w:rPr>
          <w:rFonts w:hint="eastAsia" w:ascii="宋体" w:hAnsi="宋体"/>
          <w:b/>
          <w:color w:val="auto"/>
          <w:sz w:val="24"/>
          <w:highlight w:val="none"/>
        </w:rPr>
        <w:t>八、转包或分包</w:t>
      </w:r>
    </w:p>
    <w:p>
      <w:pPr>
        <w:keepNext w:val="0"/>
        <w:keepLines w:val="0"/>
        <w:pageBreakBefore w:val="0"/>
        <w:kinsoku/>
        <w:wordWrap/>
        <w:overflowPunct/>
        <w:topLinePunct w:val="0"/>
        <w:bidi w:val="0"/>
        <w:snapToGrid w:val="0"/>
        <w:spacing w:before="156" w:beforeLines="50" w:after="156" w:afterLines="50" w:line="400" w:lineRule="exact"/>
        <w:textAlignment w:val="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pPr>
        <w:keepNext w:val="0"/>
        <w:keepLines w:val="0"/>
        <w:pageBreakBefore w:val="0"/>
        <w:kinsoku/>
        <w:wordWrap/>
        <w:overflowPunct/>
        <w:topLinePunct w:val="0"/>
        <w:bidi w:val="0"/>
        <w:snapToGrid w:val="0"/>
        <w:spacing w:before="156" w:beforeLines="50" w:after="156" w:afterLines="50" w:line="400" w:lineRule="exact"/>
        <w:textAlignment w:val="auto"/>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pPr>
        <w:keepNext w:val="0"/>
        <w:keepLines w:val="0"/>
        <w:pageBreakBefore w:val="0"/>
        <w:kinsoku/>
        <w:wordWrap/>
        <w:overflowPunct/>
        <w:topLinePunct w:val="0"/>
        <w:bidi w:val="0"/>
        <w:snapToGrid w:val="0"/>
        <w:spacing w:before="156" w:beforeLines="50" w:after="156" w:afterLines="50" w:line="400" w:lineRule="exact"/>
        <w:textAlignment w:val="auto"/>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.如有转让和未经甲方同意的分包行为，甲方有权解除合同，没收履约保证金并追究乙方的违约责任。</w:t>
      </w:r>
    </w:p>
    <w:p>
      <w:pPr>
        <w:pStyle w:val="13"/>
        <w:keepNext w:val="0"/>
        <w:keepLines w:val="0"/>
        <w:pageBreakBefore w:val="0"/>
        <w:kinsoku/>
        <w:wordWrap/>
        <w:overflowPunct/>
        <w:topLinePunct w:val="0"/>
        <w:bidi w:val="0"/>
        <w:snapToGrid w:val="0"/>
        <w:spacing w:before="120" w:after="120" w:line="400" w:lineRule="exact"/>
        <w:textAlignment w:val="auto"/>
        <w:rPr>
          <w:rFonts w:hAnsi="宋体"/>
          <w:color w:val="auto"/>
          <w:sz w:val="24"/>
          <w:highlight w:val="none"/>
        </w:rPr>
      </w:pPr>
      <w:r>
        <w:rPr>
          <w:rFonts w:hint="eastAsia" w:hAnsi="宋体"/>
          <w:b/>
          <w:color w:val="auto"/>
          <w:sz w:val="24"/>
          <w:highlight w:val="none"/>
        </w:rPr>
        <w:t>九</w:t>
      </w:r>
      <w:r>
        <w:rPr>
          <w:rFonts w:hAnsi="宋体"/>
          <w:b/>
          <w:color w:val="auto"/>
          <w:sz w:val="24"/>
          <w:highlight w:val="none"/>
        </w:rPr>
        <w:t xml:space="preserve">、服务质量保证期 </w:t>
      </w:r>
    </w:p>
    <w:p>
      <w:pPr>
        <w:pStyle w:val="13"/>
        <w:keepNext w:val="0"/>
        <w:keepLines w:val="0"/>
        <w:pageBreakBefore w:val="0"/>
        <w:kinsoku/>
        <w:wordWrap/>
        <w:overflowPunct/>
        <w:topLinePunct w:val="0"/>
        <w:bidi w:val="0"/>
        <w:snapToGrid w:val="0"/>
        <w:spacing w:before="120" w:after="120" w:line="400" w:lineRule="exact"/>
        <w:ind w:left="410" w:hanging="410" w:hangingChars="171"/>
        <w:textAlignment w:val="auto"/>
        <w:rPr>
          <w:rFonts w:hint="eastAsia" w:hAnsi="宋体" w:eastAsia="宋体"/>
          <w:color w:val="auto"/>
          <w:sz w:val="24"/>
          <w:highlight w:val="none"/>
          <w:lang w:eastAsia="zh-CN"/>
        </w:rPr>
      </w:pPr>
      <w:r>
        <w:rPr>
          <w:rFonts w:hint="eastAsia" w:hAnsi="宋体"/>
          <w:color w:val="auto"/>
          <w:sz w:val="24"/>
          <w:highlight w:val="none"/>
          <w:lang w:eastAsia="zh-CN"/>
        </w:rPr>
        <w:t>无</w:t>
      </w:r>
    </w:p>
    <w:p>
      <w:pPr>
        <w:pStyle w:val="13"/>
        <w:keepNext w:val="0"/>
        <w:keepLines w:val="0"/>
        <w:pageBreakBefore w:val="0"/>
        <w:kinsoku/>
        <w:wordWrap/>
        <w:overflowPunct/>
        <w:topLinePunct w:val="0"/>
        <w:bidi w:val="0"/>
        <w:snapToGrid w:val="0"/>
        <w:spacing w:before="120" w:after="120" w:line="400" w:lineRule="exact"/>
        <w:textAlignment w:val="auto"/>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、合同履行时间、履行方式及履行地点</w:t>
      </w:r>
    </w:p>
    <w:p>
      <w:pPr>
        <w:pStyle w:val="13"/>
        <w:keepNext w:val="0"/>
        <w:keepLines w:val="0"/>
        <w:pageBreakBefore w:val="0"/>
        <w:kinsoku/>
        <w:wordWrap/>
        <w:overflowPunct/>
        <w:topLinePunct w:val="0"/>
        <w:bidi w:val="0"/>
        <w:snapToGrid w:val="0"/>
        <w:spacing w:before="120" w:after="120" w:line="400" w:lineRule="exact"/>
        <w:textAlignment w:val="auto"/>
        <w:rPr>
          <w:rFonts w:hint="default" w:hAnsi="宋体" w:eastAsia="宋体"/>
          <w:bCs/>
          <w:color w:val="auto"/>
          <w:sz w:val="24"/>
          <w:highlight w:val="none"/>
          <w:lang w:val="en-US" w:eastAsia="zh-CN"/>
        </w:rPr>
      </w:pPr>
      <w:r>
        <w:rPr>
          <w:rFonts w:hAnsi="宋体"/>
          <w:bCs/>
          <w:color w:val="auto"/>
          <w:sz w:val="24"/>
          <w:highlight w:val="none"/>
        </w:rPr>
        <w:t>1</w:t>
      </w:r>
      <w:r>
        <w:rPr>
          <w:rFonts w:hint="eastAsia" w:hAnsi="宋体"/>
          <w:bCs/>
          <w:color w:val="auto"/>
          <w:sz w:val="24"/>
          <w:highlight w:val="none"/>
        </w:rPr>
        <w:t>.</w:t>
      </w:r>
      <w:r>
        <w:rPr>
          <w:rFonts w:hAnsi="宋体"/>
          <w:bCs/>
          <w:color w:val="auto"/>
          <w:sz w:val="24"/>
          <w:highlight w:val="none"/>
        </w:rPr>
        <w:t xml:space="preserve"> </w:t>
      </w:r>
      <w:r>
        <w:rPr>
          <w:rFonts w:hAnsi="宋体"/>
          <w:color w:val="auto"/>
          <w:sz w:val="24"/>
          <w:highlight w:val="none"/>
        </w:rPr>
        <w:t>履行时间</w:t>
      </w:r>
      <w:r>
        <w:rPr>
          <w:rFonts w:hAnsi="宋体"/>
          <w:bCs/>
          <w:color w:val="auto"/>
          <w:sz w:val="24"/>
          <w:highlight w:val="none"/>
        </w:rPr>
        <w:t>：</w:t>
      </w:r>
      <w:r>
        <w:rPr>
          <w:rFonts w:hint="eastAsia" w:hAnsi="宋体"/>
          <w:bCs/>
          <w:color w:val="auto"/>
          <w:sz w:val="24"/>
          <w:highlight w:val="none"/>
          <w:lang w:val="en-US" w:eastAsia="zh-CN"/>
        </w:rPr>
        <w:t>2020年   月   日至2020年   月   日。</w:t>
      </w:r>
    </w:p>
    <w:p>
      <w:pPr>
        <w:pStyle w:val="13"/>
        <w:keepNext w:val="0"/>
        <w:keepLines w:val="0"/>
        <w:pageBreakBefore w:val="0"/>
        <w:kinsoku/>
        <w:wordWrap/>
        <w:overflowPunct/>
        <w:topLinePunct w:val="0"/>
        <w:bidi w:val="0"/>
        <w:snapToGrid w:val="0"/>
        <w:spacing w:before="120" w:after="120" w:line="400" w:lineRule="exact"/>
        <w:textAlignment w:val="auto"/>
        <w:rPr>
          <w:rFonts w:hAnsi="宋体"/>
          <w:bCs/>
          <w:color w:val="auto"/>
          <w:sz w:val="24"/>
          <w:highlight w:val="none"/>
        </w:rPr>
      </w:pPr>
      <w:r>
        <w:rPr>
          <w:rFonts w:hAnsi="宋体"/>
          <w:bCs/>
          <w:color w:val="auto"/>
          <w:sz w:val="24"/>
          <w:highlight w:val="none"/>
        </w:rPr>
        <w:t>2</w:t>
      </w:r>
      <w:r>
        <w:rPr>
          <w:rFonts w:hint="eastAsia" w:hAnsi="宋体"/>
          <w:bCs/>
          <w:color w:val="auto"/>
          <w:sz w:val="24"/>
          <w:highlight w:val="none"/>
        </w:rPr>
        <w:t>.</w:t>
      </w:r>
      <w:r>
        <w:rPr>
          <w:rFonts w:hAnsi="宋体"/>
          <w:bCs/>
          <w:color w:val="auto"/>
          <w:sz w:val="24"/>
          <w:highlight w:val="none"/>
        </w:rPr>
        <w:t xml:space="preserve"> </w:t>
      </w:r>
      <w:r>
        <w:rPr>
          <w:rFonts w:hAnsi="宋体"/>
          <w:color w:val="auto"/>
          <w:sz w:val="24"/>
          <w:highlight w:val="none"/>
        </w:rPr>
        <w:t>履行方式</w:t>
      </w:r>
      <w:r>
        <w:rPr>
          <w:rFonts w:hAnsi="宋体"/>
          <w:bCs/>
          <w:color w:val="auto"/>
          <w:sz w:val="24"/>
          <w:highlight w:val="none"/>
        </w:rPr>
        <w:t>：</w:t>
      </w:r>
    </w:p>
    <w:p>
      <w:pPr>
        <w:pStyle w:val="13"/>
        <w:keepNext w:val="0"/>
        <w:keepLines w:val="0"/>
        <w:pageBreakBefore w:val="0"/>
        <w:kinsoku/>
        <w:wordWrap/>
        <w:overflowPunct/>
        <w:topLinePunct w:val="0"/>
        <w:bidi w:val="0"/>
        <w:snapToGrid w:val="0"/>
        <w:spacing w:before="120" w:after="120" w:line="400" w:lineRule="exact"/>
        <w:textAlignment w:val="auto"/>
        <w:rPr>
          <w:rFonts w:hAnsi="宋体"/>
          <w:color w:val="auto"/>
          <w:sz w:val="24"/>
          <w:highlight w:val="none"/>
        </w:rPr>
      </w:pPr>
      <w:r>
        <w:rPr>
          <w:rFonts w:hAnsi="宋体"/>
          <w:bCs/>
          <w:color w:val="auto"/>
          <w:sz w:val="24"/>
          <w:highlight w:val="none"/>
        </w:rPr>
        <w:t>3</w:t>
      </w:r>
      <w:r>
        <w:rPr>
          <w:rFonts w:hint="eastAsia" w:hAnsi="宋体"/>
          <w:bCs/>
          <w:color w:val="auto"/>
          <w:sz w:val="24"/>
          <w:highlight w:val="none"/>
        </w:rPr>
        <w:t>.</w:t>
      </w:r>
      <w:r>
        <w:rPr>
          <w:rFonts w:hAnsi="宋体"/>
          <w:bCs/>
          <w:color w:val="auto"/>
          <w:sz w:val="24"/>
          <w:highlight w:val="none"/>
        </w:rPr>
        <w:t xml:space="preserve"> </w:t>
      </w:r>
      <w:r>
        <w:rPr>
          <w:rFonts w:hAnsi="宋体"/>
          <w:color w:val="auto"/>
          <w:sz w:val="24"/>
          <w:highlight w:val="none"/>
        </w:rPr>
        <w:t>履行地点</w:t>
      </w:r>
      <w:r>
        <w:rPr>
          <w:rFonts w:hAnsi="宋体"/>
          <w:bCs/>
          <w:color w:val="auto"/>
          <w:sz w:val="24"/>
          <w:highlight w:val="none"/>
        </w:rPr>
        <w:t>：</w:t>
      </w:r>
    </w:p>
    <w:p>
      <w:pPr>
        <w:pStyle w:val="13"/>
        <w:keepNext w:val="0"/>
        <w:keepLines w:val="0"/>
        <w:pageBreakBefore w:val="0"/>
        <w:kinsoku/>
        <w:wordWrap/>
        <w:overflowPunct/>
        <w:topLinePunct w:val="0"/>
        <w:bidi w:val="0"/>
        <w:snapToGrid w:val="0"/>
        <w:spacing w:before="120" w:after="120" w:line="400" w:lineRule="exact"/>
        <w:textAlignment w:val="auto"/>
        <w:rPr>
          <w:rFonts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pPr>
        <w:pStyle w:val="13"/>
        <w:keepNext w:val="0"/>
        <w:keepLines w:val="0"/>
        <w:pageBreakBefore w:val="0"/>
        <w:kinsoku/>
        <w:wordWrap/>
        <w:overflowPunct/>
        <w:topLinePunct w:val="0"/>
        <w:bidi w:val="0"/>
        <w:snapToGrid w:val="0"/>
        <w:spacing w:before="120" w:after="120" w:line="400" w:lineRule="exact"/>
        <w:textAlignment w:val="auto"/>
        <w:rPr>
          <w:rFonts w:hAnsi="宋体"/>
          <w:b/>
          <w:color w:val="auto"/>
          <w:sz w:val="24"/>
          <w:highlight w:val="none"/>
        </w:rPr>
      </w:pPr>
      <w:r>
        <w:rPr>
          <w:rFonts w:hint="eastAsia" w:hAnsi="宋体"/>
          <w:b/>
          <w:color w:val="auto"/>
          <w:sz w:val="24"/>
          <w:highlight w:val="none"/>
        </w:rPr>
        <w:t>1.</w:t>
      </w:r>
      <w:r>
        <w:rPr>
          <w:rFonts w:hAnsi="宋体"/>
          <w:b/>
          <w:color w:val="auto"/>
          <w:sz w:val="24"/>
          <w:highlight w:val="none"/>
        </w:rPr>
        <w:t>付款方式：</w:t>
      </w:r>
    </w:p>
    <w:p>
      <w:pPr>
        <w:pStyle w:val="13"/>
        <w:keepNext w:val="0"/>
        <w:keepLines w:val="0"/>
        <w:pageBreakBefore w:val="0"/>
        <w:kinsoku/>
        <w:wordWrap/>
        <w:overflowPunct/>
        <w:topLinePunct w:val="0"/>
        <w:bidi w:val="0"/>
        <w:snapToGrid w:val="0"/>
        <w:spacing w:before="120" w:after="120" w:line="400" w:lineRule="exact"/>
        <w:textAlignment w:val="auto"/>
        <w:rPr>
          <w:rFonts w:hAnsi="宋体"/>
          <w:b w:val="0"/>
          <w:bCs/>
          <w:color w:val="auto"/>
          <w:sz w:val="24"/>
          <w:highlight w:val="none"/>
        </w:rPr>
      </w:pPr>
      <w:r>
        <w:rPr>
          <w:rFonts w:hint="eastAsia" w:hAnsi="宋体"/>
          <w:bCs/>
          <w:color w:val="auto"/>
          <w:sz w:val="24"/>
          <w:highlight w:val="none"/>
        </w:rPr>
        <w:t>第一期：</w:t>
      </w:r>
      <w:r>
        <w:rPr>
          <w:rFonts w:hint="eastAsia" w:hAnsi="宋体"/>
          <w:bCs/>
          <w:color w:val="auto"/>
          <w:sz w:val="24"/>
          <w:highlight w:val="none"/>
          <w:lang w:val="zh-CN"/>
        </w:rPr>
        <w:t>合同签订后</w:t>
      </w:r>
      <w:r>
        <w:rPr>
          <w:rFonts w:hint="eastAsia" w:hAnsi="宋体"/>
          <w:bCs/>
          <w:color w:val="auto"/>
          <w:sz w:val="24"/>
          <w:highlight w:val="none"/>
        </w:rPr>
        <w:t>15个工作日内，采购人</w:t>
      </w:r>
      <w:r>
        <w:rPr>
          <w:rFonts w:hint="eastAsia" w:hAnsi="宋体"/>
          <w:bCs/>
          <w:color w:val="auto"/>
          <w:sz w:val="24"/>
          <w:highlight w:val="none"/>
          <w:lang w:val="zh-CN"/>
        </w:rPr>
        <w:t>预付</w:t>
      </w:r>
      <w:r>
        <w:rPr>
          <w:rFonts w:hint="eastAsia" w:cs="Times New Roman" w:asciiTheme="minorEastAsia" w:hAnsiTheme="minorEastAsia" w:eastAsiaTheme="minorEastAsia"/>
          <w:b/>
          <w:color w:val="auto"/>
          <w:sz w:val="24"/>
          <w:highlight w:val="none"/>
          <w:lang w:val="zh-CN"/>
        </w:rPr>
        <w:t>合同价的</w:t>
      </w:r>
      <w:r>
        <w:rPr>
          <w:rFonts w:hint="eastAsia" w:hAnsi="宋体"/>
          <w:b/>
          <w:bCs w:val="0"/>
          <w:color w:val="auto"/>
          <w:sz w:val="24"/>
          <w:highlight w:val="none"/>
        </w:rPr>
        <w:t>2</w:t>
      </w:r>
      <w:r>
        <w:rPr>
          <w:rFonts w:hint="eastAsia" w:hAnsi="宋体"/>
          <w:b/>
          <w:bCs w:val="0"/>
          <w:color w:val="auto"/>
          <w:sz w:val="24"/>
          <w:highlight w:val="none"/>
          <w:lang w:val="en-US" w:eastAsia="zh-CN"/>
        </w:rPr>
        <w:t>5</w:t>
      </w:r>
      <w:r>
        <w:rPr>
          <w:rFonts w:hint="eastAsia" w:hAnsi="宋体"/>
          <w:b/>
          <w:bCs w:val="0"/>
          <w:color w:val="auto"/>
          <w:sz w:val="24"/>
          <w:highlight w:val="none"/>
          <w:lang w:val="zh-CN"/>
        </w:rPr>
        <w:t>%</w:t>
      </w:r>
      <w:r>
        <w:rPr>
          <w:rFonts w:hint="eastAsia" w:hAnsi="宋体"/>
          <w:b w:val="0"/>
          <w:bCs/>
          <w:color w:val="auto"/>
          <w:sz w:val="24"/>
          <w:highlight w:val="none"/>
          <w:lang w:val="zh-CN"/>
        </w:rPr>
        <w:t>。</w:t>
      </w:r>
    </w:p>
    <w:p>
      <w:pPr>
        <w:pStyle w:val="13"/>
        <w:keepNext w:val="0"/>
        <w:keepLines w:val="0"/>
        <w:pageBreakBefore w:val="0"/>
        <w:kinsoku/>
        <w:wordWrap/>
        <w:overflowPunct/>
        <w:topLinePunct w:val="0"/>
        <w:bidi w:val="0"/>
        <w:snapToGrid w:val="0"/>
        <w:spacing w:before="120" w:after="120" w:line="400" w:lineRule="exact"/>
        <w:textAlignment w:val="auto"/>
        <w:rPr>
          <w:rFonts w:hAnsi="宋体"/>
          <w:bCs/>
          <w:color w:val="auto"/>
          <w:sz w:val="24"/>
          <w:highlight w:val="none"/>
        </w:rPr>
      </w:pPr>
      <w:r>
        <w:rPr>
          <w:rFonts w:hint="eastAsia" w:hAnsi="宋体"/>
          <w:bCs/>
          <w:color w:val="auto"/>
          <w:sz w:val="24"/>
          <w:highlight w:val="none"/>
        </w:rPr>
        <w:t>第二期：</w:t>
      </w:r>
      <w:r>
        <w:rPr>
          <w:rFonts w:hint="eastAsia" w:cs="Times New Roman" w:asciiTheme="minorEastAsia" w:hAnsiTheme="minorEastAsia" w:eastAsiaTheme="minorEastAsia"/>
          <w:bCs/>
          <w:color w:val="auto"/>
          <w:sz w:val="24"/>
          <w:highlight w:val="none"/>
          <w:lang w:val="zh-CN"/>
        </w:rPr>
        <w:t>项目服务结束经验收合格后</w:t>
      </w:r>
      <w:r>
        <w:rPr>
          <w:rFonts w:hint="eastAsia" w:cs="Times New Roman" w:asciiTheme="minorEastAsia" w:hAnsiTheme="minorEastAsia" w:eastAsiaTheme="minorEastAsia"/>
          <w:bCs/>
          <w:color w:val="auto"/>
          <w:sz w:val="24"/>
          <w:highlight w:val="none"/>
        </w:rPr>
        <w:t>15个工作日内</w:t>
      </w:r>
      <w:r>
        <w:rPr>
          <w:rFonts w:hint="eastAsia" w:hAnsi="宋体"/>
          <w:bCs/>
          <w:color w:val="auto"/>
          <w:sz w:val="24"/>
          <w:highlight w:val="none"/>
        </w:rPr>
        <w:t>，采购人支付</w:t>
      </w:r>
      <w:r>
        <w:rPr>
          <w:rFonts w:hint="eastAsia" w:cs="Times New Roman" w:asciiTheme="minorEastAsia" w:hAnsiTheme="minorEastAsia" w:eastAsiaTheme="minorEastAsia"/>
          <w:b/>
          <w:color w:val="auto"/>
          <w:sz w:val="24"/>
          <w:highlight w:val="none"/>
          <w:lang w:val="zh-CN"/>
        </w:rPr>
        <w:t>合同价的</w:t>
      </w:r>
      <w:r>
        <w:rPr>
          <w:rFonts w:hint="eastAsia" w:hAnsi="宋体" w:eastAsiaTheme="minorEastAsia"/>
          <w:b/>
          <w:bCs w:val="0"/>
          <w:color w:val="auto"/>
          <w:sz w:val="24"/>
          <w:highlight w:val="none"/>
          <w:lang w:val="en-US" w:eastAsia="zh-CN"/>
        </w:rPr>
        <w:t>75</w:t>
      </w:r>
      <w:r>
        <w:rPr>
          <w:rFonts w:hint="eastAsia" w:hAnsi="宋体"/>
          <w:b/>
          <w:bCs w:val="0"/>
          <w:color w:val="auto"/>
          <w:sz w:val="24"/>
          <w:highlight w:val="none"/>
          <w:lang w:val="zh-CN"/>
        </w:rPr>
        <w:t>%</w:t>
      </w:r>
      <w:r>
        <w:rPr>
          <w:rFonts w:hint="eastAsia" w:hAnsi="宋体"/>
          <w:b w:val="0"/>
          <w:bCs/>
          <w:color w:val="auto"/>
          <w:sz w:val="24"/>
          <w:highlight w:val="none"/>
          <w:lang w:val="zh-CN"/>
        </w:rPr>
        <w:t>。</w:t>
      </w:r>
    </w:p>
    <w:p>
      <w:pPr>
        <w:keepNext w:val="0"/>
        <w:keepLines w:val="0"/>
        <w:pageBreakBefore w:val="0"/>
        <w:kinsoku/>
        <w:wordWrap/>
        <w:overflowPunct/>
        <w:topLinePunct w:val="0"/>
        <w:bidi w:val="0"/>
        <w:snapToGrid w:val="0"/>
        <w:spacing w:before="156" w:beforeLines="50" w:after="156" w:afterLines="50" w:line="400" w:lineRule="exact"/>
        <w:textAlignment w:val="auto"/>
        <w:rPr>
          <w:rFonts w:ascii="宋体" w:hAnsi="宋体"/>
          <w:b/>
          <w:color w:val="auto"/>
          <w:sz w:val="24"/>
          <w:highlight w:val="none"/>
        </w:rPr>
      </w:pPr>
      <w:r>
        <w:rPr>
          <w:rFonts w:hint="eastAsia" w:ascii="宋体" w:hAnsi="宋体"/>
          <w:b/>
          <w:color w:val="auto"/>
          <w:sz w:val="24"/>
          <w:highlight w:val="none"/>
        </w:rPr>
        <w:t>十二、税费</w:t>
      </w:r>
    </w:p>
    <w:p>
      <w:pPr>
        <w:keepNext w:val="0"/>
        <w:keepLines w:val="0"/>
        <w:pageBreakBefore w:val="0"/>
        <w:kinsoku/>
        <w:wordWrap/>
        <w:overflowPunct/>
        <w:topLinePunct w:val="0"/>
        <w:bidi w:val="0"/>
        <w:snapToGrid w:val="0"/>
        <w:spacing w:before="156" w:beforeLines="50" w:after="156" w:afterLines="50" w:line="400" w:lineRule="exact"/>
        <w:textAlignment w:val="auto"/>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pPr>
        <w:pStyle w:val="13"/>
        <w:keepNext w:val="0"/>
        <w:keepLines w:val="0"/>
        <w:pageBreakBefore w:val="0"/>
        <w:kinsoku/>
        <w:wordWrap/>
        <w:overflowPunct/>
        <w:topLinePunct w:val="0"/>
        <w:bidi w:val="0"/>
        <w:snapToGrid w:val="0"/>
        <w:spacing w:before="120" w:after="120" w:line="400" w:lineRule="exact"/>
        <w:ind w:left="412" w:hanging="412" w:hangingChars="171"/>
        <w:textAlignment w:val="auto"/>
        <w:rPr>
          <w:rFonts w:hAnsi="宋体"/>
          <w:color w:val="auto"/>
          <w:sz w:val="24"/>
          <w:highlight w:val="none"/>
        </w:rPr>
      </w:pPr>
      <w:r>
        <w:rPr>
          <w:rFonts w:hAnsi="宋体"/>
          <w:b/>
          <w:color w:val="auto"/>
          <w:sz w:val="24"/>
          <w:highlight w:val="none"/>
        </w:rPr>
        <w:t>十</w:t>
      </w:r>
      <w:r>
        <w:rPr>
          <w:rFonts w:hint="eastAsia" w:hAnsi="宋体"/>
          <w:b/>
          <w:color w:val="auto"/>
          <w:sz w:val="24"/>
          <w:highlight w:val="none"/>
        </w:rPr>
        <w:t>三</w:t>
      </w:r>
      <w:r>
        <w:rPr>
          <w:rFonts w:hAnsi="宋体"/>
          <w:b/>
          <w:color w:val="auto"/>
          <w:sz w:val="24"/>
          <w:highlight w:val="none"/>
        </w:rPr>
        <w:t>、质量保证及后续服务</w:t>
      </w:r>
    </w:p>
    <w:p>
      <w:pPr>
        <w:pStyle w:val="13"/>
        <w:keepNext w:val="0"/>
        <w:keepLines w:val="0"/>
        <w:pageBreakBefore w:val="0"/>
        <w:kinsoku/>
        <w:wordWrap/>
        <w:overflowPunct/>
        <w:topLinePunct w:val="0"/>
        <w:bidi w:val="0"/>
        <w:snapToGrid w:val="0"/>
        <w:spacing w:before="120" w:after="120" w:line="400" w:lineRule="exact"/>
        <w:ind w:left="410" w:hanging="410" w:hangingChars="171"/>
        <w:textAlignment w:val="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 乙方应按招标文件规定向甲方提供服务。</w:t>
      </w:r>
    </w:p>
    <w:p>
      <w:pPr>
        <w:pStyle w:val="13"/>
        <w:keepNext w:val="0"/>
        <w:keepLines w:val="0"/>
        <w:pageBreakBefore w:val="0"/>
        <w:kinsoku/>
        <w:wordWrap/>
        <w:overflowPunct/>
        <w:topLinePunct w:val="0"/>
        <w:bidi w:val="0"/>
        <w:snapToGrid w:val="0"/>
        <w:spacing w:before="120" w:after="120" w:line="400" w:lineRule="exact"/>
        <w:ind w:left="480" w:hanging="480" w:hangingChars="200"/>
        <w:textAlignment w:val="auto"/>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 xml:space="preserve"> 乙方提供的服务成果在服务质量保证期内发生故障，乙方应负责免费提供后续服务。对达不到要求者，根据实际情况，经双方协商，可按以下办法处理：</w:t>
      </w:r>
    </w:p>
    <w:p>
      <w:pPr>
        <w:pStyle w:val="13"/>
        <w:keepNext w:val="0"/>
        <w:keepLines w:val="0"/>
        <w:pageBreakBefore w:val="0"/>
        <w:kinsoku/>
        <w:wordWrap/>
        <w:overflowPunct/>
        <w:topLinePunct w:val="0"/>
        <w:bidi w:val="0"/>
        <w:snapToGrid w:val="0"/>
        <w:spacing w:before="120" w:after="120" w:line="400" w:lineRule="exact"/>
        <w:ind w:firstLine="420"/>
        <w:textAlignment w:val="auto"/>
        <w:rPr>
          <w:rFonts w:hAnsi="宋体"/>
          <w:color w:val="auto"/>
          <w:sz w:val="24"/>
          <w:highlight w:val="none"/>
        </w:rPr>
      </w:pPr>
      <w:r>
        <w:rPr>
          <w:rFonts w:hAnsi="宋体"/>
          <w:color w:val="auto"/>
          <w:sz w:val="24"/>
          <w:highlight w:val="none"/>
        </w:rPr>
        <w:t>⑴重做：由乙方承担所发生的全部费用。</w:t>
      </w:r>
    </w:p>
    <w:p>
      <w:pPr>
        <w:pStyle w:val="13"/>
        <w:keepNext w:val="0"/>
        <w:keepLines w:val="0"/>
        <w:pageBreakBefore w:val="0"/>
        <w:kinsoku/>
        <w:wordWrap/>
        <w:overflowPunct/>
        <w:topLinePunct w:val="0"/>
        <w:bidi w:val="0"/>
        <w:snapToGrid w:val="0"/>
        <w:spacing w:before="120" w:after="120" w:line="400" w:lineRule="exact"/>
        <w:ind w:firstLine="420"/>
        <w:textAlignment w:val="auto"/>
        <w:rPr>
          <w:rFonts w:hAnsi="宋体"/>
          <w:color w:val="auto"/>
          <w:sz w:val="24"/>
          <w:highlight w:val="none"/>
        </w:rPr>
      </w:pPr>
      <w:r>
        <w:rPr>
          <w:rFonts w:hAnsi="宋体"/>
          <w:color w:val="auto"/>
          <w:sz w:val="24"/>
          <w:highlight w:val="none"/>
        </w:rPr>
        <w:t>⑵贬值处理：由甲乙双方合议定价。</w:t>
      </w:r>
    </w:p>
    <w:p>
      <w:pPr>
        <w:pStyle w:val="13"/>
        <w:keepNext w:val="0"/>
        <w:keepLines w:val="0"/>
        <w:pageBreakBefore w:val="0"/>
        <w:kinsoku/>
        <w:wordWrap/>
        <w:overflowPunct/>
        <w:topLinePunct w:val="0"/>
        <w:bidi w:val="0"/>
        <w:snapToGrid w:val="0"/>
        <w:spacing w:before="120" w:after="120" w:line="400" w:lineRule="exact"/>
        <w:ind w:left="420" w:leftChars="200"/>
        <w:textAlignment w:val="auto"/>
        <w:rPr>
          <w:rFonts w:hAnsi="宋体"/>
          <w:color w:val="auto"/>
          <w:sz w:val="24"/>
          <w:highlight w:val="none"/>
        </w:rPr>
      </w:pPr>
      <w:r>
        <w:rPr>
          <w:rFonts w:hAnsi="宋体"/>
          <w:color w:val="auto"/>
          <w:sz w:val="24"/>
          <w:highlight w:val="none"/>
        </w:rPr>
        <w:t>⑶解除合同。</w:t>
      </w:r>
    </w:p>
    <w:p>
      <w:pPr>
        <w:pStyle w:val="13"/>
        <w:keepNext w:val="0"/>
        <w:keepLines w:val="0"/>
        <w:pageBreakBefore w:val="0"/>
        <w:kinsoku/>
        <w:wordWrap/>
        <w:overflowPunct/>
        <w:topLinePunct w:val="0"/>
        <w:bidi w:val="0"/>
        <w:snapToGrid w:val="0"/>
        <w:spacing w:before="120" w:after="120" w:line="400" w:lineRule="exact"/>
        <w:textAlignment w:val="auto"/>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 xml:space="preserve"> 如在使用过程中发生问题，乙方在接到甲方通知后在</w:t>
      </w:r>
      <w:r>
        <w:rPr>
          <w:rFonts w:hint="eastAsia" w:hAnsi="宋体"/>
          <w:color w:val="auto"/>
          <w:sz w:val="24"/>
          <w:highlight w:val="none"/>
          <w:u w:val="single"/>
        </w:rPr>
        <w:t xml:space="preserve">   </w:t>
      </w:r>
      <w:r>
        <w:rPr>
          <w:rFonts w:hAnsi="宋体"/>
          <w:color w:val="auto"/>
          <w:sz w:val="24"/>
          <w:highlight w:val="none"/>
        </w:rPr>
        <w:t>小时内到达甲方现场。</w:t>
      </w:r>
    </w:p>
    <w:p>
      <w:pPr>
        <w:pStyle w:val="13"/>
        <w:keepNext w:val="0"/>
        <w:keepLines w:val="0"/>
        <w:pageBreakBefore w:val="0"/>
        <w:kinsoku/>
        <w:wordWrap/>
        <w:overflowPunct/>
        <w:topLinePunct w:val="0"/>
        <w:bidi w:val="0"/>
        <w:snapToGrid w:val="0"/>
        <w:spacing w:before="120" w:after="120" w:line="400" w:lineRule="exact"/>
        <w:textAlignment w:val="auto"/>
        <w:rPr>
          <w:rFonts w:hAnsi="宋体"/>
          <w:color w:val="auto"/>
          <w:sz w:val="24"/>
          <w:highlight w:val="none"/>
        </w:rPr>
      </w:pPr>
      <w:r>
        <w:rPr>
          <w:rFonts w:hAnsi="宋体"/>
          <w:color w:val="auto"/>
          <w:sz w:val="24"/>
          <w:highlight w:val="none"/>
        </w:rPr>
        <w:t>4</w:t>
      </w:r>
      <w:r>
        <w:rPr>
          <w:rFonts w:hint="eastAsia" w:hAnsi="宋体"/>
          <w:color w:val="auto"/>
          <w:sz w:val="24"/>
          <w:highlight w:val="none"/>
        </w:rPr>
        <w:t>．</w:t>
      </w:r>
      <w:r>
        <w:rPr>
          <w:rFonts w:hAnsi="宋体"/>
          <w:color w:val="auto"/>
          <w:sz w:val="24"/>
          <w:highlight w:val="none"/>
        </w:rPr>
        <w:t>在</w:t>
      </w:r>
      <w:r>
        <w:rPr>
          <w:rFonts w:hAnsi="宋体"/>
          <w:b/>
          <w:color w:val="auto"/>
          <w:sz w:val="24"/>
          <w:highlight w:val="none"/>
        </w:rPr>
        <w:t>服务质量保证期</w:t>
      </w:r>
      <w:r>
        <w:rPr>
          <w:rFonts w:hAnsi="宋体"/>
          <w:color w:val="auto"/>
          <w:sz w:val="24"/>
          <w:highlight w:val="none"/>
        </w:rPr>
        <w:t>内，乙方应对出现的质量及安全问题负责处理解决并承担</w:t>
      </w:r>
    </w:p>
    <w:p>
      <w:pPr>
        <w:pStyle w:val="13"/>
        <w:keepNext w:val="0"/>
        <w:keepLines w:val="0"/>
        <w:pageBreakBefore w:val="0"/>
        <w:kinsoku/>
        <w:wordWrap/>
        <w:overflowPunct/>
        <w:topLinePunct w:val="0"/>
        <w:bidi w:val="0"/>
        <w:snapToGrid w:val="0"/>
        <w:spacing w:before="120" w:after="120" w:line="400" w:lineRule="exact"/>
        <w:ind w:firstLine="360" w:firstLineChars="150"/>
        <w:textAlignment w:val="auto"/>
        <w:rPr>
          <w:rFonts w:hAnsi="宋体"/>
          <w:color w:val="auto"/>
          <w:sz w:val="24"/>
          <w:highlight w:val="none"/>
        </w:rPr>
      </w:pPr>
      <w:r>
        <w:rPr>
          <w:rFonts w:hAnsi="宋体"/>
          <w:color w:val="auto"/>
          <w:sz w:val="24"/>
          <w:highlight w:val="none"/>
        </w:rPr>
        <w:t>一切费用。</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jc w:val="both"/>
        <w:textAlignment w:val="auto"/>
        <w:rPr>
          <w:rFonts w:hint="default"/>
          <w:b/>
          <w:color w:val="auto"/>
          <w:highlight w:val="none"/>
        </w:rPr>
      </w:pPr>
      <w:r>
        <w:rPr>
          <w:b/>
          <w:color w:val="auto"/>
          <w:kern w:val="2"/>
          <w:highlight w:val="none"/>
          <w:lang w:bidi="ar"/>
        </w:rPr>
        <w:t>十四、调试和验收</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firstLine="480" w:firstLineChars="200"/>
        <w:textAlignment w:val="auto"/>
        <w:rPr>
          <w:rFonts w:hint="default"/>
          <w:color w:val="auto"/>
          <w:kern w:val="2"/>
          <w:highlight w:val="none"/>
          <w:lang w:bidi="ar"/>
        </w:rPr>
      </w:pPr>
      <w:r>
        <w:rPr>
          <w:color w:val="auto"/>
          <w:kern w:val="2"/>
          <w:highlight w:val="none"/>
          <w:lang w:bidi="ar"/>
        </w:rPr>
        <w:t>1. 甲方对乙方提交的货物依据招标文件上的技术规格要求和国家有关质量标准进行现场初步验收，外观、说明书符合招标文件技术要求的，给予签收，初步验收不合格的不予签收。货到后，甲方需在</w:t>
      </w:r>
      <w:r>
        <w:rPr>
          <w:color w:val="auto"/>
          <w:kern w:val="2"/>
          <w:highlight w:val="none"/>
          <w:u w:val="single"/>
          <w:lang w:bidi="ar"/>
        </w:rPr>
        <w:t>五</w:t>
      </w:r>
      <w:r>
        <w:rPr>
          <w:color w:val="auto"/>
          <w:kern w:val="2"/>
          <w:highlight w:val="none"/>
          <w:lang w:bidi="ar"/>
        </w:rPr>
        <w:t>个工作日内验收。</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firstLine="480" w:firstLineChars="200"/>
        <w:textAlignment w:val="auto"/>
        <w:rPr>
          <w:rFonts w:hint="default"/>
          <w:color w:val="auto"/>
          <w:kern w:val="2"/>
          <w:highlight w:val="none"/>
          <w:lang w:bidi="ar"/>
        </w:rPr>
      </w:pPr>
      <w:r>
        <w:rPr>
          <w:color w:val="auto"/>
          <w:kern w:val="2"/>
          <w:highlight w:val="none"/>
          <w:lang w:bidi="ar"/>
        </w:rPr>
        <w:t>2. 乙方交货前应对产品作出全面检查和对验收文件进行整理，并列出清单，作为甲方收货验收和使用的技术条件依据，检验的结果应随货物交甲方。</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firstLine="480" w:firstLineChars="200"/>
        <w:textAlignment w:val="auto"/>
        <w:rPr>
          <w:rFonts w:hint="default"/>
          <w:color w:val="auto"/>
          <w:kern w:val="2"/>
          <w:highlight w:val="none"/>
          <w:lang w:bidi="ar"/>
        </w:rPr>
      </w:pPr>
      <w:r>
        <w:rPr>
          <w:color w:val="auto"/>
          <w:kern w:val="2"/>
          <w:highlight w:val="none"/>
          <w:lang w:bidi="ar"/>
        </w:rPr>
        <w:t>3. 甲方对乙方提供的货物在使用前进行调试时，乙方需负责安装并培训甲方的使用操作人员，并协助甲方一起调试，直到符合技术要求，甲方才做最终验收。</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firstLine="480" w:firstLineChars="200"/>
        <w:textAlignment w:val="auto"/>
        <w:rPr>
          <w:rFonts w:hint="default"/>
          <w:color w:val="auto"/>
          <w:kern w:val="2"/>
          <w:highlight w:val="none"/>
          <w:lang w:bidi="ar"/>
        </w:rPr>
      </w:pPr>
      <w:r>
        <w:rPr>
          <w:color w:val="auto"/>
          <w:kern w:val="2"/>
          <w:highlight w:val="none"/>
          <w:lang w:bidi="ar"/>
        </w:rPr>
        <w:t>4.对技术复杂的货物，甲方应请国家认可的专业检测机构参与初步验收及最终验收，并由其出具质量检测报告。</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firstLine="480" w:firstLineChars="200"/>
        <w:textAlignment w:val="auto"/>
        <w:rPr>
          <w:rFonts w:hint="default"/>
          <w:color w:val="auto"/>
          <w:kern w:val="2"/>
          <w:highlight w:val="none"/>
          <w:lang w:bidi="ar"/>
        </w:rPr>
      </w:pPr>
      <w:r>
        <w:rPr>
          <w:color w:val="auto"/>
          <w:kern w:val="2"/>
          <w:highlight w:val="none"/>
          <w:lang w:bidi="ar"/>
        </w:rPr>
        <w:t>5.验收时乙方必须在现场，验收完毕后作出验收结果报告；验收费用由甲方负责。</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textAlignment w:val="auto"/>
        <w:rPr>
          <w:rFonts w:hint="default"/>
          <w:b/>
          <w:color w:val="auto"/>
          <w:highlight w:val="none"/>
        </w:rPr>
      </w:pPr>
      <w:r>
        <w:rPr>
          <w:b/>
          <w:color w:val="auto"/>
          <w:kern w:val="2"/>
          <w:highlight w:val="none"/>
          <w:lang w:bidi="ar"/>
        </w:rPr>
        <w:t>十五、货物包装、发运及运输</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firstLine="480" w:firstLineChars="200"/>
        <w:jc w:val="both"/>
        <w:textAlignment w:val="auto"/>
        <w:rPr>
          <w:rFonts w:hint="default"/>
          <w:color w:val="auto"/>
          <w:kern w:val="2"/>
          <w:highlight w:val="none"/>
          <w:lang w:bidi="ar"/>
        </w:rPr>
      </w:pPr>
      <w:r>
        <w:rPr>
          <w:color w:val="auto"/>
          <w:kern w:val="2"/>
          <w:highlight w:val="none"/>
          <w:lang w:bidi="ar"/>
        </w:rPr>
        <w:t>1. 乙方应在货物发运前对其进行满足运输距离、防潮、防震、防锈和防破损装卸等要求包装，以保证货物安全运达甲方指定地点。</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firstLine="480" w:firstLineChars="200"/>
        <w:jc w:val="both"/>
        <w:textAlignment w:val="auto"/>
        <w:rPr>
          <w:rFonts w:hint="default"/>
          <w:color w:val="auto"/>
          <w:kern w:val="2"/>
          <w:highlight w:val="none"/>
          <w:lang w:bidi="ar"/>
        </w:rPr>
      </w:pPr>
      <w:r>
        <w:rPr>
          <w:color w:val="auto"/>
          <w:kern w:val="2"/>
          <w:highlight w:val="none"/>
          <w:lang w:bidi="ar"/>
        </w:rPr>
        <w:t>2. 使用说明书、质量检验证明书、随配附件和工具以及清单一并附于货物内。</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firstLine="480" w:firstLineChars="200"/>
        <w:jc w:val="both"/>
        <w:textAlignment w:val="auto"/>
        <w:rPr>
          <w:rFonts w:hint="default"/>
          <w:color w:val="auto"/>
          <w:kern w:val="2"/>
          <w:highlight w:val="none"/>
          <w:lang w:bidi="ar"/>
        </w:rPr>
      </w:pPr>
      <w:r>
        <w:rPr>
          <w:color w:val="auto"/>
          <w:kern w:val="2"/>
          <w:highlight w:val="none"/>
          <w:lang w:bidi="ar"/>
        </w:rPr>
        <w:t>3. 乙方在货物发运手续办理完毕后24小时内或货到甲方48小时前通知甲方，以准备接货。</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firstLine="480" w:firstLineChars="200"/>
        <w:jc w:val="both"/>
        <w:textAlignment w:val="auto"/>
        <w:rPr>
          <w:rFonts w:hint="default"/>
          <w:color w:val="auto"/>
          <w:kern w:val="2"/>
          <w:highlight w:val="none"/>
          <w:lang w:bidi="ar"/>
        </w:rPr>
      </w:pPr>
      <w:r>
        <w:rPr>
          <w:color w:val="auto"/>
          <w:kern w:val="2"/>
          <w:highlight w:val="none"/>
          <w:lang w:bidi="ar"/>
        </w:rPr>
        <w:t>4. 货物在交付甲方前发生的风险均由乙方负责。</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right="420" w:rightChars="200" w:firstLine="480" w:firstLineChars="200"/>
        <w:jc w:val="both"/>
        <w:textAlignment w:val="auto"/>
        <w:rPr>
          <w:rFonts w:hint="default"/>
          <w:color w:val="auto"/>
          <w:highlight w:val="none"/>
        </w:rPr>
      </w:pPr>
      <w:r>
        <w:rPr>
          <w:color w:val="auto"/>
          <w:kern w:val="2"/>
          <w:highlight w:val="none"/>
          <w:lang w:bidi="ar"/>
        </w:rPr>
        <w:t>5. 货物在规定的交付期限内由乙方送达甲方指定的地点视为交付，乙方同时需通知甲方货物已送达。</w:t>
      </w:r>
    </w:p>
    <w:p>
      <w:pPr>
        <w:pStyle w:val="13"/>
        <w:keepNext w:val="0"/>
        <w:keepLines w:val="0"/>
        <w:pageBreakBefore w:val="0"/>
        <w:kinsoku/>
        <w:wordWrap/>
        <w:overflowPunct/>
        <w:topLinePunct w:val="0"/>
        <w:bidi w:val="0"/>
        <w:snapToGrid w:val="0"/>
        <w:spacing w:before="120" w:after="120" w:line="400" w:lineRule="exact"/>
        <w:textAlignment w:val="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六</w:t>
      </w:r>
      <w:r>
        <w:rPr>
          <w:rFonts w:hAnsi="宋体"/>
          <w:b/>
          <w:color w:val="auto"/>
          <w:sz w:val="24"/>
          <w:highlight w:val="none"/>
        </w:rPr>
        <w:t>、违约责任</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left="216" w:leftChars="103" w:right="420" w:rightChars="200" w:firstLine="420" w:firstLineChars="175"/>
        <w:jc w:val="both"/>
        <w:textAlignment w:val="auto"/>
        <w:rPr>
          <w:rFonts w:hint="default"/>
          <w:color w:val="auto"/>
          <w:highlight w:val="none"/>
        </w:rPr>
      </w:pPr>
      <w:r>
        <w:rPr>
          <w:color w:val="auto"/>
          <w:kern w:val="2"/>
          <w:highlight w:val="none"/>
          <w:lang w:bidi="ar"/>
        </w:rPr>
        <w:t>1. 甲方无正当理由拒收货物的，甲方向乙方偿付拒收货款总值的</w:t>
      </w:r>
      <w:r>
        <w:rPr>
          <w:color w:val="auto"/>
          <w:kern w:val="2"/>
          <w:highlight w:val="none"/>
          <w:u w:val="single"/>
          <w:lang w:bidi="ar"/>
        </w:rPr>
        <w:t>百分之五</w:t>
      </w:r>
      <w:r>
        <w:rPr>
          <w:color w:val="auto"/>
          <w:kern w:val="2"/>
          <w:highlight w:val="none"/>
          <w:lang w:bidi="ar"/>
        </w:rPr>
        <w:t>违约金。</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left="216" w:leftChars="103" w:right="420" w:rightChars="200" w:firstLine="420" w:firstLineChars="175"/>
        <w:jc w:val="both"/>
        <w:textAlignment w:val="auto"/>
        <w:rPr>
          <w:rFonts w:hint="default"/>
          <w:color w:val="auto"/>
          <w:highlight w:val="none"/>
        </w:rPr>
      </w:pPr>
      <w:r>
        <w:rPr>
          <w:color w:val="auto"/>
          <w:kern w:val="2"/>
          <w:highlight w:val="none"/>
          <w:lang w:bidi="ar"/>
        </w:rPr>
        <w:t>2. 甲方无故逾期验收和办理货款支付手续的,甲方应按逾期付款总额每日</w:t>
      </w:r>
      <w:r>
        <w:rPr>
          <w:color w:val="auto"/>
          <w:kern w:val="2"/>
          <w:highlight w:val="none"/>
          <w:u w:val="single"/>
          <w:lang w:bidi="ar"/>
        </w:rPr>
        <w:t>万分之五</w:t>
      </w:r>
      <w:r>
        <w:rPr>
          <w:color w:val="auto"/>
          <w:kern w:val="2"/>
          <w:highlight w:val="none"/>
          <w:lang w:bidi="ar"/>
        </w:rPr>
        <w:t>向乙方支付违约金。</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left="216" w:leftChars="103" w:right="420" w:rightChars="200" w:firstLine="420" w:firstLineChars="175"/>
        <w:jc w:val="both"/>
        <w:textAlignment w:val="auto"/>
        <w:rPr>
          <w:rFonts w:hint="default"/>
          <w:color w:val="auto"/>
          <w:highlight w:val="none"/>
        </w:rPr>
      </w:pPr>
      <w:r>
        <w:rPr>
          <w:color w:val="auto"/>
          <w:kern w:val="2"/>
          <w:highlight w:val="none"/>
          <w:lang w:bidi="ar"/>
        </w:rPr>
        <w:t>3. 乙方逾期交付货物的，乙方应按逾期交货总额每日</w:t>
      </w:r>
      <w:r>
        <w:rPr>
          <w:color w:val="auto"/>
          <w:kern w:val="2"/>
          <w:highlight w:val="none"/>
          <w:u w:val="single"/>
          <w:lang w:bidi="ar"/>
        </w:rPr>
        <w:t>千分之六</w:t>
      </w:r>
      <w:r>
        <w:rPr>
          <w:color w:val="auto"/>
          <w:kern w:val="2"/>
          <w:highlight w:val="none"/>
          <w:lang w:bidi="ar"/>
        </w:rPr>
        <w:t>向甲方支付违约金，由甲方从待付货款中扣除。逾期超过约定日期</w:t>
      </w:r>
      <w:r>
        <w:rPr>
          <w:color w:val="auto"/>
          <w:kern w:val="2"/>
          <w:highlight w:val="none"/>
          <w:u w:val="single"/>
          <w:lang w:bidi="ar"/>
        </w:rPr>
        <w:t>10</w:t>
      </w:r>
      <w:r>
        <w:rPr>
          <w:color w:val="auto"/>
          <w:kern w:val="2"/>
          <w:highlight w:val="none"/>
          <w:lang w:bidi="ar"/>
        </w:rPr>
        <w:t>个工作日不能交货的，甲方可解除本合同。乙方因逾期交货或因其他违约行为导致甲方解除合同的，乙方应向甲方支付合同总值</w:t>
      </w:r>
      <w:r>
        <w:rPr>
          <w:color w:val="auto"/>
          <w:kern w:val="2"/>
          <w:highlight w:val="none"/>
          <w:u w:val="single"/>
          <w:lang w:bidi="ar"/>
        </w:rPr>
        <w:t>5%</w:t>
      </w:r>
      <w:r>
        <w:rPr>
          <w:color w:val="auto"/>
          <w:kern w:val="2"/>
          <w:highlight w:val="none"/>
          <w:lang w:bidi="ar"/>
        </w:rPr>
        <w:t xml:space="preserve">的违约金，如造成甲方损失超过违约金的，超出部分由乙方继续承担赔偿责任。 </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left="216" w:leftChars="103" w:right="420" w:rightChars="200" w:firstLine="420" w:firstLineChars="175"/>
        <w:jc w:val="both"/>
        <w:textAlignment w:val="auto"/>
        <w:rPr>
          <w:rFonts w:hint="default"/>
          <w:color w:val="auto"/>
          <w:highlight w:val="none"/>
        </w:rPr>
      </w:pPr>
      <w:r>
        <w:rPr>
          <w:color w:val="auto"/>
          <w:kern w:val="2"/>
          <w:highlight w:val="none"/>
          <w:lang w:bidi="ar"/>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8"/>
        <w:keepNext w:val="0"/>
        <w:keepLines w:val="0"/>
        <w:pageBreakBefore w:val="0"/>
        <w:widowControl w:val="0"/>
        <w:kinsoku/>
        <w:wordWrap/>
        <w:overflowPunct/>
        <w:topLinePunct w:val="0"/>
        <w:bidi w:val="0"/>
        <w:snapToGrid w:val="0"/>
        <w:spacing w:before="120" w:beforeAutospacing="0" w:after="120" w:afterAutospacing="0" w:line="400" w:lineRule="exact"/>
        <w:ind w:left="216" w:leftChars="103" w:right="420" w:rightChars="200" w:firstLine="420" w:firstLineChars="175"/>
        <w:jc w:val="both"/>
        <w:textAlignment w:val="auto"/>
        <w:rPr>
          <w:rFonts w:hint="default"/>
          <w:color w:val="auto"/>
          <w:highlight w:val="none"/>
        </w:rPr>
      </w:pPr>
      <w:r>
        <w:rPr>
          <w:color w:val="auto"/>
          <w:kern w:val="2"/>
          <w:highlight w:val="none"/>
          <w:lang w:bidi="ar"/>
        </w:rPr>
        <w:t>5.若发生纠纷，由违约方赔偿守约方因纠纷所支付的费用（包括但不限于律师费、差旅费、诉讼费、保全费、鉴定费、评估费等）</w:t>
      </w:r>
    </w:p>
    <w:p>
      <w:pPr>
        <w:pStyle w:val="13"/>
        <w:keepNext w:val="0"/>
        <w:keepLines w:val="0"/>
        <w:pageBreakBefore w:val="0"/>
        <w:kinsoku/>
        <w:wordWrap/>
        <w:overflowPunct/>
        <w:topLinePunct w:val="0"/>
        <w:bidi w:val="0"/>
        <w:snapToGrid w:val="0"/>
        <w:spacing w:before="120" w:after="120" w:line="400" w:lineRule="exact"/>
        <w:textAlignment w:val="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七</w:t>
      </w:r>
      <w:r>
        <w:rPr>
          <w:rFonts w:hAnsi="宋体"/>
          <w:b/>
          <w:color w:val="auto"/>
          <w:sz w:val="24"/>
          <w:highlight w:val="none"/>
        </w:rPr>
        <w:t>、不可抗力事件处理</w:t>
      </w:r>
    </w:p>
    <w:p>
      <w:pPr>
        <w:pStyle w:val="13"/>
        <w:keepNext w:val="0"/>
        <w:keepLines w:val="0"/>
        <w:pageBreakBefore w:val="0"/>
        <w:kinsoku/>
        <w:wordWrap/>
        <w:overflowPunct/>
        <w:topLinePunct w:val="0"/>
        <w:bidi w:val="0"/>
        <w:snapToGrid w:val="0"/>
        <w:spacing w:before="120" w:after="120" w:line="400" w:lineRule="exact"/>
        <w:ind w:firstLine="480" w:firstLineChars="200"/>
        <w:textAlignment w:val="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在合同有效期内，任何一方因不可抗力事件导致不能履行合同，则合同履行期可延长，其延长期与不可抗力影响期相同。</w:t>
      </w:r>
    </w:p>
    <w:p>
      <w:pPr>
        <w:pStyle w:val="13"/>
        <w:keepNext w:val="0"/>
        <w:keepLines w:val="0"/>
        <w:pageBreakBefore w:val="0"/>
        <w:kinsoku/>
        <w:wordWrap/>
        <w:overflowPunct/>
        <w:topLinePunct w:val="0"/>
        <w:bidi w:val="0"/>
        <w:snapToGrid w:val="0"/>
        <w:spacing w:before="120" w:after="120" w:line="400" w:lineRule="exact"/>
        <w:ind w:firstLine="480" w:firstLineChars="200"/>
        <w:textAlignment w:val="auto"/>
        <w:rPr>
          <w:rFonts w:hAnsi="宋体"/>
          <w:color w:val="auto"/>
          <w:sz w:val="24"/>
          <w:highlight w:val="none"/>
        </w:rPr>
      </w:pPr>
      <w:r>
        <w:rPr>
          <w:rFonts w:hAnsi="宋体"/>
          <w:color w:val="auto"/>
          <w:sz w:val="24"/>
          <w:highlight w:val="none"/>
        </w:rPr>
        <w:t>2</w:t>
      </w:r>
      <w:r>
        <w:rPr>
          <w:rFonts w:hint="eastAsia" w:hAnsi="宋体"/>
          <w:color w:val="auto"/>
          <w:sz w:val="24"/>
          <w:highlight w:val="none"/>
        </w:rPr>
        <w:t>．</w:t>
      </w:r>
      <w:r>
        <w:rPr>
          <w:rFonts w:hAnsi="宋体"/>
          <w:color w:val="auto"/>
          <w:sz w:val="24"/>
          <w:highlight w:val="none"/>
        </w:rPr>
        <w:t>不可抗力事件发生后，应立即通知对方，并寄送有关权威机构出具的证明。</w:t>
      </w:r>
    </w:p>
    <w:p>
      <w:pPr>
        <w:pStyle w:val="13"/>
        <w:keepNext w:val="0"/>
        <w:keepLines w:val="0"/>
        <w:pageBreakBefore w:val="0"/>
        <w:kinsoku/>
        <w:wordWrap/>
        <w:overflowPunct/>
        <w:topLinePunct w:val="0"/>
        <w:bidi w:val="0"/>
        <w:snapToGrid w:val="0"/>
        <w:spacing w:before="120" w:after="120" w:line="400" w:lineRule="exact"/>
        <w:ind w:firstLine="480" w:firstLineChars="200"/>
        <w:textAlignment w:val="auto"/>
        <w:rPr>
          <w:rFonts w:hAnsi="宋体"/>
          <w:color w:val="auto"/>
          <w:sz w:val="24"/>
          <w:highlight w:val="none"/>
        </w:rPr>
      </w:pPr>
      <w:r>
        <w:rPr>
          <w:rFonts w:hAnsi="宋体"/>
          <w:color w:val="auto"/>
          <w:sz w:val="24"/>
          <w:highlight w:val="none"/>
        </w:rPr>
        <w:t>3</w:t>
      </w:r>
      <w:r>
        <w:rPr>
          <w:rFonts w:hint="eastAsia" w:hAnsi="宋体"/>
          <w:color w:val="auto"/>
          <w:sz w:val="24"/>
          <w:highlight w:val="none"/>
        </w:rPr>
        <w:t>．</w:t>
      </w:r>
      <w:r>
        <w:rPr>
          <w:rFonts w:hAnsi="宋体"/>
          <w:color w:val="auto"/>
          <w:sz w:val="24"/>
          <w:highlight w:val="none"/>
        </w:rPr>
        <w:t>不可抗力事件延续120天以上，双方应通过友好协商，确定是否继续履行合同。</w:t>
      </w:r>
    </w:p>
    <w:p>
      <w:pPr>
        <w:pStyle w:val="13"/>
        <w:keepNext w:val="0"/>
        <w:keepLines w:val="0"/>
        <w:pageBreakBefore w:val="0"/>
        <w:kinsoku/>
        <w:wordWrap/>
        <w:overflowPunct/>
        <w:topLinePunct w:val="0"/>
        <w:bidi w:val="0"/>
        <w:snapToGrid w:val="0"/>
        <w:spacing w:before="120" w:after="120" w:line="400" w:lineRule="exact"/>
        <w:textAlignment w:val="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八</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pPr>
        <w:pStyle w:val="13"/>
        <w:keepNext w:val="0"/>
        <w:keepLines w:val="0"/>
        <w:pageBreakBefore w:val="0"/>
        <w:kinsoku/>
        <w:wordWrap/>
        <w:overflowPunct/>
        <w:topLinePunct w:val="0"/>
        <w:bidi w:val="0"/>
        <w:snapToGrid w:val="0"/>
        <w:spacing w:before="120" w:after="120" w:line="400" w:lineRule="exact"/>
        <w:ind w:firstLine="480" w:firstLineChars="200"/>
        <w:textAlignment w:val="auto"/>
        <w:rPr>
          <w:rFonts w:hint="eastAsia" w:hAnsi="宋体" w:eastAsia="宋体" w:cs="宋体"/>
          <w:color w:val="auto"/>
          <w:kern w:val="0"/>
          <w:sz w:val="24"/>
          <w:highlight w:val="none"/>
          <w:lang w:val="en-US" w:eastAsia="zh-CN"/>
        </w:rPr>
      </w:pPr>
      <w:r>
        <w:rPr>
          <w:rFonts w:hint="eastAsia" w:hAnsi="宋体" w:cs="宋体"/>
          <w:color w:val="auto"/>
          <w:kern w:val="0"/>
          <w:sz w:val="24"/>
          <w:highlight w:val="none"/>
        </w:rPr>
        <w:t xml:space="preserve">1. </w:t>
      </w:r>
      <w:r>
        <w:rPr>
          <w:rFonts w:hAnsi="宋体" w:cs="宋体"/>
          <w:color w:val="auto"/>
          <w:kern w:val="0"/>
          <w:sz w:val="24"/>
          <w:highlight w:val="none"/>
        </w:rPr>
        <w:t>如双方在履行合同时发生纠纷，应协商解决；协商不成时，可提请政府采购管理部门调解；调解不成的通过以下</w:t>
      </w:r>
      <w:r>
        <w:rPr>
          <w:rFonts w:hAnsi="宋体" w:cs="宋体"/>
          <w:color w:val="auto"/>
          <w:kern w:val="0"/>
          <w:sz w:val="24"/>
          <w:highlight w:val="none"/>
          <w:u w:val="single"/>
        </w:rPr>
        <w:t>方式</w:t>
      </w:r>
      <w:r>
        <w:rPr>
          <w:rFonts w:hint="eastAsia" w:hAnsi="宋体" w:cs="宋体"/>
          <w:color w:val="auto"/>
          <w:kern w:val="0"/>
          <w:sz w:val="24"/>
          <w:highlight w:val="none"/>
          <w:u w:val="single"/>
        </w:rPr>
        <w:t>（1）</w:t>
      </w:r>
      <w:r>
        <w:rPr>
          <w:rFonts w:hAnsi="宋体" w:cs="宋体"/>
          <w:color w:val="auto"/>
          <w:kern w:val="0"/>
          <w:sz w:val="24"/>
          <w:highlight w:val="none"/>
        </w:rPr>
        <w:t>解决：</w:t>
      </w:r>
      <w:r>
        <w:rPr>
          <w:rFonts w:hAnsi="宋体" w:cs="宋体"/>
          <w:color w:val="auto"/>
          <w:kern w:val="0"/>
          <w:sz w:val="24"/>
          <w:highlight w:val="none"/>
        </w:rPr>
        <w:br w:type="textWrapping"/>
      </w:r>
      <w:r>
        <w:rPr>
          <w:rFonts w:hint="eastAsia" w:hAnsi="宋体" w:cs="宋体"/>
          <w:color w:val="auto"/>
          <w:kern w:val="0"/>
          <w:sz w:val="24"/>
          <w:highlight w:val="none"/>
          <w:lang w:val="en-US" w:eastAsia="zh-CN"/>
        </w:rPr>
        <w:t xml:space="preserve">    </w:t>
      </w:r>
      <w:r>
        <w:rPr>
          <w:rFonts w:hAnsi="宋体" w:cs="宋体"/>
          <w:color w:val="auto"/>
          <w:kern w:val="0"/>
          <w:sz w:val="24"/>
          <w:highlight w:val="none"/>
        </w:rPr>
        <w:t>（1） 提交</w:t>
      </w:r>
      <w:r>
        <w:rPr>
          <w:rFonts w:hAnsi="宋体"/>
          <w:color w:val="auto"/>
          <w:sz w:val="24"/>
          <w:highlight w:val="none"/>
          <w:u w:val="single"/>
        </w:rPr>
        <w:t>台州</w:t>
      </w:r>
      <w:r>
        <w:rPr>
          <w:rFonts w:hAnsi="宋体" w:cs="宋体"/>
          <w:color w:val="auto"/>
          <w:kern w:val="0"/>
          <w:sz w:val="24"/>
          <w:highlight w:val="none"/>
        </w:rPr>
        <w:t>仲裁委员会仲裁。</w:t>
      </w:r>
      <w:r>
        <w:rPr>
          <w:rFonts w:hAnsi="宋体" w:cs="宋体"/>
          <w:color w:val="auto"/>
          <w:kern w:val="0"/>
          <w:sz w:val="24"/>
          <w:highlight w:val="none"/>
        </w:rPr>
        <w:br w:type="textWrapping"/>
      </w:r>
      <w:r>
        <w:rPr>
          <w:rFonts w:hint="eastAsia" w:hAnsi="宋体" w:cs="宋体"/>
          <w:color w:val="auto"/>
          <w:kern w:val="0"/>
          <w:sz w:val="24"/>
          <w:highlight w:val="none"/>
          <w:lang w:val="en-US" w:eastAsia="zh-CN"/>
        </w:rPr>
        <w:t xml:space="preserve">    </w:t>
      </w:r>
      <w:r>
        <w:rPr>
          <w:rFonts w:hAnsi="宋体" w:cs="宋体"/>
          <w:color w:val="auto"/>
          <w:kern w:val="0"/>
          <w:sz w:val="24"/>
          <w:highlight w:val="none"/>
        </w:rPr>
        <w:t>（2） 依法向人民法院提起诉讼。</w:t>
      </w:r>
      <w:r>
        <w:rPr>
          <w:rFonts w:hint="eastAsia" w:hAnsi="宋体" w:cs="宋体"/>
          <w:color w:val="auto"/>
          <w:kern w:val="0"/>
          <w:sz w:val="24"/>
          <w:highlight w:val="none"/>
          <w:lang w:val="en-US" w:eastAsia="zh-CN"/>
        </w:rPr>
        <w:t xml:space="preserve"> </w:t>
      </w:r>
    </w:p>
    <w:p>
      <w:pPr>
        <w:pStyle w:val="13"/>
        <w:keepNext w:val="0"/>
        <w:keepLines w:val="0"/>
        <w:pageBreakBefore w:val="0"/>
        <w:kinsoku/>
        <w:wordWrap/>
        <w:overflowPunct/>
        <w:topLinePunct w:val="0"/>
        <w:bidi w:val="0"/>
        <w:snapToGrid w:val="0"/>
        <w:spacing w:before="120" w:after="120" w:line="400" w:lineRule="exact"/>
        <w:textAlignment w:val="auto"/>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九</w:t>
      </w:r>
      <w:r>
        <w:rPr>
          <w:rFonts w:hAnsi="宋体"/>
          <w:b/>
          <w:color w:val="auto"/>
          <w:sz w:val="24"/>
          <w:highlight w:val="none"/>
        </w:rPr>
        <w:t>、合同生效及其它</w:t>
      </w:r>
    </w:p>
    <w:p>
      <w:pPr>
        <w:pStyle w:val="13"/>
        <w:keepNext w:val="0"/>
        <w:keepLines w:val="0"/>
        <w:pageBreakBefore w:val="0"/>
        <w:kinsoku/>
        <w:wordWrap/>
        <w:overflowPunct/>
        <w:topLinePunct w:val="0"/>
        <w:bidi w:val="0"/>
        <w:snapToGrid w:val="0"/>
        <w:spacing w:before="120" w:after="120" w:line="400" w:lineRule="exact"/>
        <w:ind w:firstLine="480" w:firstLineChars="200"/>
        <w:textAlignment w:val="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 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pPr>
        <w:pStyle w:val="13"/>
        <w:keepNext w:val="0"/>
        <w:keepLines w:val="0"/>
        <w:pageBreakBefore w:val="0"/>
        <w:kinsoku/>
        <w:wordWrap/>
        <w:overflowPunct/>
        <w:topLinePunct w:val="0"/>
        <w:bidi w:val="0"/>
        <w:snapToGrid w:val="0"/>
        <w:spacing w:before="120" w:after="120" w:line="400" w:lineRule="exact"/>
        <w:ind w:left="479" w:leftChars="228" w:firstLine="0" w:firstLineChars="0"/>
        <w:textAlignment w:val="auto"/>
        <w:rPr>
          <w:rFonts w:hAnsi="宋体"/>
          <w:color w:val="auto"/>
          <w:sz w:val="24"/>
          <w:highlight w:val="none"/>
        </w:rPr>
      </w:pPr>
      <w:r>
        <w:rPr>
          <w:rFonts w:hint="eastAsia" w:hAnsi="宋体"/>
          <w:color w:val="auto"/>
          <w:sz w:val="24"/>
          <w:highlight w:val="none"/>
        </w:rPr>
        <w:t xml:space="preserve">2. </w:t>
      </w:r>
      <w:r>
        <w:rPr>
          <w:rFonts w:hAnsi="宋体"/>
          <w:color w:val="auto"/>
          <w:sz w:val="24"/>
          <w:highlight w:val="none"/>
        </w:rPr>
        <w:t>本合同未尽事宜，遵照《合同法》有关条文执行。</w:t>
      </w:r>
    </w:p>
    <w:p>
      <w:pPr>
        <w:keepNext w:val="0"/>
        <w:keepLines w:val="0"/>
        <w:pageBreakBefore w:val="0"/>
        <w:widowControl/>
        <w:kinsoku/>
        <w:wordWrap/>
        <w:overflowPunct/>
        <w:topLinePunct w:val="0"/>
        <w:bidi w:val="0"/>
        <w:spacing w:line="400" w:lineRule="exact"/>
        <w:ind w:firstLine="480" w:firstLineChars="200"/>
        <w:textAlignment w:val="auto"/>
        <w:rPr>
          <w:rFonts w:ascii="宋体" w:hAnsi="宋体" w:cstheme="minorBidi"/>
          <w:color w:val="auto"/>
          <w:sz w:val="24"/>
          <w:highlight w:val="none"/>
        </w:rPr>
      </w:pPr>
      <w:r>
        <w:rPr>
          <w:rFonts w:hint="eastAsia" w:ascii="宋体" w:hAnsi="宋体" w:cstheme="minorBidi"/>
          <w:color w:val="auto"/>
          <w:sz w:val="24"/>
          <w:highlight w:val="none"/>
        </w:rPr>
        <w:t>3. 本合同一式</w:t>
      </w:r>
      <w:r>
        <w:rPr>
          <w:rFonts w:hint="eastAsia" w:ascii="宋体" w:hAnsi="宋体" w:cstheme="minorBidi"/>
          <w:color w:val="auto"/>
          <w:sz w:val="24"/>
          <w:highlight w:val="none"/>
          <w:lang w:eastAsia="zh-CN"/>
        </w:rPr>
        <w:t>六</w:t>
      </w:r>
      <w:r>
        <w:rPr>
          <w:rFonts w:hint="eastAsia" w:ascii="宋体" w:hAnsi="宋体" w:cstheme="minorBidi"/>
          <w:color w:val="auto"/>
          <w:sz w:val="24"/>
          <w:highlight w:val="none"/>
        </w:rPr>
        <w:t>份。甲、乙双方各执</w:t>
      </w:r>
      <w:r>
        <w:rPr>
          <w:rFonts w:hint="eastAsia" w:ascii="宋体" w:hAnsi="宋体" w:cstheme="minorBidi"/>
          <w:color w:val="auto"/>
          <w:sz w:val="24"/>
          <w:highlight w:val="none"/>
          <w:lang w:eastAsia="zh-CN"/>
        </w:rPr>
        <w:t>二</w:t>
      </w:r>
      <w:r>
        <w:rPr>
          <w:rFonts w:hint="eastAsia" w:ascii="宋体" w:hAnsi="宋体" w:cstheme="minorBidi"/>
          <w:color w:val="auto"/>
          <w:sz w:val="24"/>
          <w:highlight w:val="none"/>
        </w:rPr>
        <w:t>份，</w:t>
      </w:r>
      <w:r>
        <w:rPr>
          <w:rFonts w:hint="eastAsia" w:ascii="宋体" w:hAnsi="宋体"/>
          <w:color w:val="auto"/>
          <w:sz w:val="24"/>
          <w:highlight w:val="none"/>
        </w:rPr>
        <w:t>采购</w:t>
      </w:r>
      <w:r>
        <w:rPr>
          <w:rFonts w:hint="eastAsia" w:ascii="宋体" w:hAnsi="宋体"/>
          <w:color w:val="auto"/>
          <w:sz w:val="24"/>
          <w:highlight w:val="none"/>
          <w:lang w:eastAsia="zh-CN"/>
        </w:rPr>
        <w:t>代理</w:t>
      </w:r>
      <w:r>
        <w:rPr>
          <w:rFonts w:hint="eastAsia" w:ascii="宋体" w:hAnsi="宋体"/>
          <w:color w:val="auto"/>
          <w:sz w:val="24"/>
          <w:highlight w:val="none"/>
        </w:rPr>
        <w:t>机构及同级政府采购监督管理部门各执一份</w:t>
      </w:r>
      <w:r>
        <w:rPr>
          <w:rFonts w:hint="eastAsia" w:ascii="宋体" w:hAnsi="宋体" w:cstheme="minorBidi"/>
          <w:color w:val="auto"/>
          <w:sz w:val="24"/>
          <w:highlight w:val="none"/>
        </w:rPr>
        <w:t>。本项目未尽事宜以招标文件、投标文件及澄清文件等为准。</w:t>
      </w:r>
    </w:p>
    <w:tbl>
      <w:tblPr>
        <w:tblStyle w:val="22"/>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1874"/>
        <w:gridCol w:w="2611"/>
        <w:gridCol w:w="17"/>
        <w:gridCol w:w="53"/>
        <w:gridCol w:w="1017"/>
        <w:gridCol w:w="651"/>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54" w:type="dxa"/>
            <w:vMerge w:val="restart"/>
            <w:tcBorders>
              <w:top w:val="single" w:color="auto" w:sz="8" w:space="0"/>
              <w:left w:val="single" w:color="auto" w:sz="8" w:space="0"/>
              <w:bottom w:val="single" w:color="auto" w:sz="4" w:space="0"/>
              <w:right w:val="single" w:color="auto" w:sz="4" w:space="0"/>
            </w:tcBorders>
            <w:textDirection w:val="tbRlV"/>
            <w:vAlign w:val="center"/>
          </w:tcPr>
          <w:p>
            <w:pPr>
              <w:tabs>
                <w:tab w:val="left" w:pos="1100"/>
              </w:tabs>
              <w:ind w:left="113" w:right="113"/>
              <w:jc w:val="center"/>
              <w:rPr>
                <w:rFonts w:ascii="宋体" w:hAnsi="宋体"/>
                <w:color w:val="auto"/>
                <w:sz w:val="24"/>
                <w:highlight w:val="none"/>
              </w:rPr>
            </w:pPr>
            <w:r>
              <w:rPr>
                <w:rFonts w:hint="eastAsia" w:ascii="宋体" w:hAnsi="宋体"/>
                <w:color w:val="auto"/>
                <w:sz w:val="24"/>
                <w:highlight w:val="none"/>
              </w:rPr>
              <w:t>甲方</w:t>
            </w:r>
            <w:r>
              <w:rPr>
                <w:rFonts w:ascii="Calibri" w:hAnsi="Calibri"/>
                <w:color w:val="auto"/>
                <w:sz w:val="24"/>
                <w:highlight w:val="none"/>
              </w:rPr>
              <mc:AlternateContent>
                <mc:Choice Requires="wps">
                  <w:drawing>
                    <wp:anchor distT="0" distB="0" distL="114300" distR="114300" simplePos="0" relativeHeight="251658240" behindDoc="0" locked="0" layoutInCell="0" allowOverlap="1">
                      <wp:simplePos x="0" y="0"/>
                      <wp:positionH relativeFrom="column">
                        <wp:posOffset>-1143000</wp:posOffset>
                      </wp:positionH>
                      <wp:positionV relativeFrom="paragraph">
                        <wp:posOffset>516255</wp:posOffset>
                      </wp:positionV>
                      <wp:extent cx="76200" cy="172085"/>
                      <wp:effectExtent l="0" t="0" r="0" b="0"/>
                      <wp:wrapNone/>
                      <wp:docPr id="1" name="左中括号 1"/>
                      <wp:cNvGraphicFramePr/>
                      <a:graphic xmlns:a="http://schemas.openxmlformats.org/drawingml/2006/main">
                        <a:graphicData uri="http://schemas.microsoft.com/office/word/2010/wordprocessingShape">
                          <wps:wsp>
                            <wps:cNvSpPr/>
                            <wps:spPr>
                              <a:xfrm>
                                <a:off x="0" y="0"/>
                                <a:ext cx="76200" cy="172085"/>
                              </a:xfrm>
                              <a:prstGeom prst="leftBracket">
                                <a:avLst>
                                  <a:gd name="adj" fmla="val 18819"/>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5" type="#_x0000_t85" style="position:absolute;left:0pt;margin-left:-90pt;margin-top:40.65pt;height:13.55pt;width:6pt;z-index:251658240;mso-width-relative:page;mso-height-relative:page;" filled="f" stroked="t" coordsize="21600,21600" o:allowincell="f" o:gfxdata="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SyWl1wAAAAwBAAAPAAAAAAAAAAEAIAAAACIAAABkcnMvZG93bnJldi54bWxQ&#10;SwECFAAUAAAACACHTuJAgORfivgBAADUAwAADgAAAAAAAAABACAAAAAmAQAAZHJzL2Uyb0RvYy54&#10;bWxQSwUGAAAAAAYABgBZAQAAkAUAAAAA&#10;" adj="1799">
                      <v:fill on="f" focussize="0,0"/>
                      <v:stroke color="#000000" joinstyle="round"/>
                      <v:imagedata o:title=""/>
                      <o:lock v:ext="edit" aspectratio="f"/>
                    </v:shape>
                  </w:pict>
                </mc:Fallback>
              </mc:AlternateContent>
            </w:r>
          </w:p>
        </w:tc>
        <w:tc>
          <w:tcPr>
            <w:tcW w:w="1874" w:type="dxa"/>
            <w:tcBorders>
              <w:top w:val="single" w:color="auto" w:sz="8"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名称（或姓名）</w:t>
            </w:r>
          </w:p>
        </w:tc>
        <w:tc>
          <w:tcPr>
            <w:tcW w:w="6291" w:type="dxa"/>
            <w:gridSpan w:val="6"/>
            <w:tcBorders>
              <w:top w:val="single" w:color="auto" w:sz="8" w:space="0"/>
              <w:left w:val="single" w:color="auto" w:sz="4" w:space="0"/>
              <w:bottom w:val="single" w:color="auto" w:sz="4" w:space="0"/>
              <w:right w:val="single" w:color="auto" w:sz="8"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玉环市农业农村和水利局（盖章）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法定代表人</w:t>
            </w:r>
          </w:p>
        </w:tc>
        <w:tc>
          <w:tcPr>
            <w:tcW w:w="2681" w:type="dxa"/>
            <w:gridSpan w:val="3"/>
            <w:tcBorders>
              <w:top w:val="single" w:color="auto" w:sz="4" w:space="0"/>
              <w:left w:val="single" w:color="auto" w:sz="4" w:space="0"/>
              <w:bottom w:val="single" w:color="auto" w:sz="4" w:space="0"/>
              <w:right w:val="single" w:color="auto" w:sz="4"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（签字或盖章）</w:t>
            </w:r>
          </w:p>
        </w:tc>
        <w:tc>
          <w:tcPr>
            <w:tcW w:w="1668" w:type="dxa"/>
            <w:gridSpan w:val="2"/>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委托代理人</w:t>
            </w:r>
          </w:p>
        </w:tc>
        <w:tc>
          <w:tcPr>
            <w:tcW w:w="1942" w:type="dxa"/>
            <w:tcBorders>
              <w:top w:val="single" w:color="auto" w:sz="4" w:space="0"/>
              <w:left w:val="single" w:color="auto" w:sz="4" w:space="0"/>
              <w:bottom w:val="single" w:color="auto" w:sz="4" w:space="0"/>
              <w:right w:val="single" w:color="auto" w:sz="8"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联  系  人</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 xml:space="preserve">                         （签字或盖章）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住    所</w:t>
            </w:r>
          </w:p>
          <w:p>
            <w:pPr>
              <w:tabs>
                <w:tab w:val="left" w:pos="1100"/>
              </w:tabs>
              <w:jc w:val="center"/>
              <w:rPr>
                <w:rFonts w:ascii="宋体" w:hAnsi="宋体"/>
                <w:color w:val="auto"/>
                <w:sz w:val="24"/>
                <w:highlight w:val="none"/>
              </w:rPr>
            </w:pPr>
            <w:r>
              <w:rPr>
                <w:rFonts w:hint="eastAsia" w:ascii="宋体" w:hAnsi="宋体"/>
                <w:color w:val="auto"/>
                <w:sz w:val="24"/>
                <w:highlight w:val="none"/>
              </w:rPr>
              <w:t>（通讯地址）</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电     话</w:t>
            </w:r>
          </w:p>
        </w:tc>
        <w:tc>
          <w:tcPr>
            <w:tcW w:w="2611" w:type="dxa"/>
            <w:tcBorders>
              <w:top w:val="single" w:color="auto" w:sz="4" w:space="0"/>
              <w:left w:val="single" w:color="auto" w:sz="4" w:space="0"/>
              <w:bottom w:val="single" w:color="auto" w:sz="4" w:space="0"/>
              <w:right w:val="single" w:color="auto" w:sz="4" w:space="0"/>
            </w:tcBorders>
            <w:vAlign w:val="center"/>
          </w:tcPr>
          <w:p>
            <w:pPr>
              <w:tabs>
                <w:tab w:val="left" w:pos="1100"/>
              </w:tabs>
              <w:jc w:val="right"/>
              <w:rPr>
                <w:rFonts w:ascii="宋体" w:hAnsi="宋体"/>
                <w:color w:val="auto"/>
                <w:sz w:val="24"/>
                <w:highlight w:val="none"/>
              </w:rPr>
            </w:pPr>
          </w:p>
          <w:p>
            <w:pPr>
              <w:tabs>
                <w:tab w:val="left" w:pos="1100"/>
              </w:tabs>
              <w:ind w:right="420" w:firstLine="840" w:firstLineChars="350"/>
              <w:rPr>
                <w:rFonts w:ascii="宋体" w:hAnsi="宋体"/>
                <w:color w:val="auto"/>
                <w:sz w:val="24"/>
                <w:highlight w:val="none"/>
              </w:rPr>
            </w:pPr>
            <w:r>
              <w:rPr>
                <w:rFonts w:hint="eastAsia" w:ascii="宋体" w:hAnsi="宋体"/>
                <w:color w:val="auto"/>
                <w:sz w:val="24"/>
                <w:highlight w:val="none"/>
              </w:rPr>
              <w:t xml:space="preserve"> </w:t>
            </w:r>
          </w:p>
        </w:tc>
        <w:tc>
          <w:tcPr>
            <w:tcW w:w="1087" w:type="dxa"/>
            <w:gridSpan w:val="3"/>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E-mail</w:t>
            </w:r>
          </w:p>
        </w:tc>
        <w:tc>
          <w:tcPr>
            <w:tcW w:w="2593" w:type="dxa"/>
            <w:gridSpan w:val="2"/>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p>
            <w:pPr>
              <w:tabs>
                <w:tab w:val="left" w:pos="1100"/>
              </w:tabs>
              <w:ind w:firstLine="240" w:firstLineChars="100"/>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开 户 银 行</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454"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帐     号</w:t>
            </w:r>
          </w:p>
        </w:tc>
        <w:tc>
          <w:tcPr>
            <w:tcW w:w="2628" w:type="dxa"/>
            <w:gridSpan w:val="2"/>
            <w:tcBorders>
              <w:top w:val="single" w:color="auto" w:sz="4" w:space="0"/>
              <w:left w:val="single" w:color="auto" w:sz="4" w:space="0"/>
              <w:bottom w:val="single" w:color="auto" w:sz="4" w:space="0"/>
              <w:right w:val="single" w:color="auto" w:sz="4" w:space="0"/>
            </w:tcBorders>
            <w:vAlign w:val="center"/>
          </w:tcPr>
          <w:p>
            <w:pPr>
              <w:tabs>
                <w:tab w:val="left" w:pos="1100"/>
              </w:tabs>
              <w:rPr>
                <w:rFonts w:ascii="宋体" w:hAnsi="宋体"/>
                <w:color w:val="auto"/>
                <w:sz w:val="24"/>
                <w:highlight w:val="none"/>
              </w:rPr>
            </w:pPr>
          </w:p>
        </w:tc>
        <w:tc>
          <w:tcPr>
            <w:tcW w:w="1721" w:type="dxa"/>
            <w:gridSpan w:val="3"/>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邮政编码</w:t>
            </w:r>
          </w:p>
        </w:tc>
        <w:tc>
          <w:tcPr>
            <w:tcW w:w="1942" w:type="dxa"/>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4" w:type="dxa"/>
            <w:vMerge w:val="restart"/>
            <w:tcBorders>
              <w:top w:val="single" w:color="auto" w:sz="4" w:space="0"/>
              <w:left w:val="single" w:color="auto" w:sz="8" w:space="0"/>
              <w:bottom w:val="single" w:color="auto" w:sz="4" w:space="0"/>
              <w:right w:val="single" w:color="auto" w:sz="4" w:space="0"/>
            </w:tcBorders>
            <w:textDirection w:val="tbRlV"/>
            <w:vAlign w:val="center"/>
          </w:tcPr>
          <w:p>
            <w:pPr>
              <w:tabs>
                <w:tab w:val="left" w:pos="1100"/>
              </w:tabs>
              <w:ind w:left="113" w:right="113"/>
              <w:jc w:val="center"/>
              <w:rPr>
                <w:rFonts w:ascii="宋体" w:hAnsi="宋体"/>
                <w:color w:val="auto"/>
                <w:sz w:val="24"/>
                <w:highlight w:val="none"/>
              </w:rPr>
            </w:pPr>
            <w:r>
              <w:rPr>
                <w:rFonts w:hint="eastAsia" w:ascii="宋体" w:hAnsi="宋体"/>
                <w:color w:val="auto"/>
                <w:sz w:val="24"/>
                <w:highlight w:val="none"/>
              </w:rPr>
              <w:t>乙方</w:t>
            </w: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名称（或姓名）</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法定代表人</w:t>
            </w:r>
          </w:p>
        </w:tc>
        <w:tc>
          <w:tcPr>
            <w:tcW w:w="2611" w:type="dxa"/>
            <w:tcBorders>
              <w:top w:val="single" w:color="auto" w:sz="4" w:space="0"/>
              <w:left w:val="single" w:color="auto" w:sz="4" w:space="0"/>
              <w:bottom w:val="single" w:color="auto" w:sz="4" w:space="0"/>
              <w:right w:val="single" w:color="auto" w:sz="4"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（签字或盖章）</w:t>
            </w:r>
          </w:p>
        </w:tc>
        <w:tc>
          <w:tcPr>
            <w:tcW w:w="1738" w:type="dxa"/>
            <w:gridSpan w:val="4"/>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委托代理人</w:t>
            </w:r>
          </w:p>
        </w:tc>
        <w:tc>
          <w:tcPr>
            <w:tcW w:w="1942" w:type="dxa"/>
            <w:tcBorders>
              <w:top w:val="single" w:color="auto" w:sz="4" w:space="0"/>
              <w:left w:val="single" w:color="auto" w:sz="4" w:space="0"/>
              <w:bottom w:val="single" w:color="auto" w:sz="4" w:space="0"/>
              <w:right w:val="single" w:color="auto" w:sz="8"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联  系  人</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jc w:val="right"/>
              <w:rPr>
                <w:rFonts w:ascii="宋体" w:hAnsi="宋体"/>
                <w:color w:val="auto"/>
                <w:sz w:val="24"/>
                <w:highlight w:val="none"/>
              </w:rPr>
            </w:pPr>
          </w:p>
          <w:p>
            <w:pPr>
              <w:tabs>
                <w:tab w:val="left" w:pos="1100"/>
              </w:tabs>
              <w:jc w:val="right"/>
              <w:rPr>
                <w:rFonts w:ascii="宋体" w:hAnsi="宋体"/>
                <w:color w:val="auto"/>
                <w:sz w:val="24"/>
                <w:highlight w:val="none"/>
              </w:rPr>
            </w:pPr>
            <w:r>
              <w:rPr>
                <w:rFonts w:hint="eastAsia" w:ascii="宋体" w:hAnsi="宋体"/>
                <w:color w:val="auto"/>
                <w:sz w:val="24"/>
                <w:highlight w:val="none"/>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住     所</w:t>
            </w:r>
          </w:p>
          <w:p>
            <w:pPr>
              <w:tabs>
                <w:tab w:val="left" w:pos="1100"/>
              </w:tabs>
              <w:jc w:val="center"/>
              <w:rPr>
                <w:rFonts w:ascii="宋体" w:hAnsi="宋体"/>
                <w:color w:val="auto"/>
                <w:sz w:val="24"/>
                <w:highlight w:val="none"/>
              </w:rPr>
            </w:pPr>
            <w:r>
              <w:rPr>
                <w:rFonts w:hint="eastAsia" w:ascii="宋体" w:hAnsi="宋体"/>
                <w:color w:val="auto"/>
                <w:sz w:val="24"/>
                <w:highlight w:val="none"/>
              </w:rPr>
              <w:t>（通讯地址）</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ind w:firstLine="1800" w:firstLineChars="900"/>
              <w:rPr>
                <w:rFonts w:ascii="宋体" w:hAnsi="宋体"/>
                <w:color w:val="auto"/>
                <w:spacing w:val="-2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电      话</w:t>
            </w:r>
          </w:p>
        </w:tc>
        <w:tc>
          <w:tcPr>
            <w:tcW w:w="2611" w:type="dxa"/>
            <w:tcBorders>
              <w:top w:val="single" w:color="auto" w:sz="4" w:space="0"/>
              <w:left w:val="single" w:color="auto" w:sz="4" w:space="0"/>
              <w:bottom w:val="single" w:color="auto" w:sz="4" w:space="0"/>
              <w:right w:val="single" w:color="auto" w:sz="4" w:space="0"/>
            </w:tcBorders>
            <w:vAlign w:val="center"/>
          </w:tcPr>
          <w:p>
            <w:pPr>
              <w:tabs>
                <w:tab w:val="left" w:pos="1100"/>
              </w:tabs>
              <w:ind w:firstLine="600" w:firstLineChars="300"/>
              <w:rPr>
                <w:rFonts w:ascii="宋体" w:hAnsi="宋体"/>
                <w:color w:val="auto"/>
                <w:spacing w:val="-20"/>
                <w:sz w:val="24"/>
                <w:highlight w:val="none"/>
              </w:rPr>
            </w:pPr>
          </w:p>
        </w:tc>
        <w:tc>
          <w:tcPr>
            <w:tcW w:w="1087" w:type="dxa"/>
            <w:gridSpan w:val="3"/>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E-mail</w:t>
            </w:r>
          </w:p>
        </w:tc>
        <w:tc>
          <w:tcPr>
            <w:tcW w:w="2593" w:type="dxa"/>
            <w:gridSpan w:val="2"/>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开 户 银 行</w:t>
            </w:r>
          </w:p>
        </w:tc>
        <w:tc>
          <w:tcPr>
            <w:tcW w:w="6291" w:type="dxa"/>
            <w:gridSpan w:val="6"/>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p>
            <w:pPr>
              <w:tabs>
                <w:tab w:val="left" w:pos="1100"/>
              </w:tabs>
              <w:ind w:firstLine="1080" w:firstLineChars="450"/>
              <w:rPr>
                <w:rFonts w:ascii="宋体" w:hAnsi="宋体"/>
                <w:color w:val="auto"/>
                <w:sz w:val="24"/>
                <w:highlight w:val="none"/>
              </w:rPr>
            </w:pPr>
            <w:r>
              <w:rPr>
                <w:rFonts w:hint="eastAsia" w:ascii="宋体"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45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color w:val="auto"/>
                <w:sz w:val="24"/>
                <w:highlight w:val="none"/>
              </w:rPr>
            </w:pPr>
          </w:p>
        </w:tc>
        <w:tc>
          <w:tcPr>
            <w:tcW w:w="1874" w:type="dxa"/>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帐      号</w:t>
            </w:r>
          </w:p>
        </w:tc>
        <w:tc>
          <w:tcPr>
            <w:tcW w:w="2628" w:type="dxa"/>
            <w:gridSpan w:val="2"/>
            <w:tcBorders>
              <w:top w:val="single" w:color="auto" w:sz="4" w:space="0"/>
              <w:left w:val="single" w:color="auto" w:sz="4" w:space="0"/>
              <w:bottom w:val="single" w:color="auto" w:sz="4" w:space="0"/>
              <w:right w:val="single" w:color="auto" w:sz="4" w:space="0"/>
            </w:tcBorders>
            <w:vAlign w:val="center"/>
          </w:tcPr>
          <w:p>
            <w:pPr>
              <w:tabs>
                <w:tab w:val="left" w:pos="1100"/>
              </w:tabs>
              <w:rPr>
                <w:rFonts w:ascii="宋体" w:hAnsi="宋体"/>
                <w:color w:val="auto"/>
                <w:sz w:val="24"/>
                <w:highlight w:val="none"/>
              </w:rPr>
            </w:pPr>
          </w:p>
          <w:p>
            <w:pPr>
              <w:jc w:val="center"/>
              <w:rPr>
                <w:rFonts w:ascii="宋体" w:hAnsi="宋体"/>
                <w:color w:val="auto"/>
                <w:sz w:val="24"/>
                <w:highlight w:val="none"/>
              </w:rPr>
            </w:pPr>
          </w:p>
        </w:tc>
        <w:tc>
          <w:tcPr>
            <w:tcW w:w="1721" w:type="dxa"/>
            <w:gridSpan w:val="3"/>
            <w:tcBorders>
              <w:top w:val="single" w:color="auto" w:sz="4" w:space="0"/>
              <w:left w:val="single" w:color="auto" w:sz="4" w:space="0"/>
              <w:bottom w:val="single" w:color="auto" w:sz="4" w:space="0"/>
              <w:right w:val="single" w:color="auto" w:sz="4" w:space="0"/>
            </w:tcBorders>
            <w:vAlign w:val="center"/>
          </w:tcPr>
          <w:p>
            <w:pPr>
              <w:tabs>
                <w:tab w:val="left" w:pos="1100"/>
              </w:tabs>
              <w:jc w:val="center"/>
              <w:rPr>
                <w:rFonts w:ascii="宋体" w:hAnsi="宋体"/>
                <w:color w:val="auto"/>
                <w:sz w:val="24"/>
                <w:highlight w:val="none"/>
              </w:rPr>
            </w:pPr>
            <w:r>
              <w:rPr>
                <w:rFonts w:hint="eastAsia" w:ascii="宋体" w:hAnsi="宋体"/>
                <w:color w:val="auto"/>
                <w:sz w:val="24"/>
                <w:highlight w:val="none"/>
              </w:rPr>
              <w:t>邮政编码</w:t>
            </w:r>
          </w:p>
        </w:tc>
        <w:tc>
          <w:tcPr>
            <w:tcW w:w="1942" w:type="dxa"/>
            <w:tcBorders>
              <w:top w:val="single" w:color="auto" w:sz="4" w:space="0"/>
              <w:left w:val="single" w:color="auto" w:sz="4" w:space="0"/>
              <w:bottom w:val="single" w:color="auto" w:sz="4" w:space="0"/>
              <w:right w:val="single" w:color="auto" w:sz="8" w:space="0"/>
            </w:tcBorders>
            <w:vAlign w:val="center"/>
          </w:tcPr>
          <w:p>
            <w:pPr>
              <w:tabs>
                <w:tab w:val="left" w:pos="1100"/>
              </w:tabs>
              <w:rPr>
                <w:rFonts w:ascii="宋体" w:hAnsi="宋体"/>
                <w:color w:val="auto"/>
                <w:sz w:val="24"/>
                <w:highlight w:val="none"/>
              </w:rPr>
            </w:pPr>
          </w:p>
        </w:tc>
      </w:tr>
    </w:tbl>
    <w:p>
      <w:pP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pPr>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投标文件格式附件</w:t>
      </w:r>
    </w:p>
    <w:p>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b/>
          <w:color w:val="auto"/>
          <w:sz w:val="30"/>
          <w:szCs w:val="30"/>
          <w:highlight w:val="none"/>
        </w:rPr>
        <w:t xml:space="preserve">                             </w:t>
      </w:r>
      <w:r>
        <w:rPr>
          <w:rFonts w:hint="eastAsia" w:ascii="宋体" w:hAnsi="宋体"/>
          <w:color w:val="auto"/>
          <w:sz w:val="30"/>
          <w:szCs w:val="30"/>
          <w:highlight w:val="none"/>
        </w:rPr>
        <w:t xml:space="preserve"> 　　　</w:t>
      </w:r>
      <w:r>
        <w:rPr>
          <w:rFonts w:hint="eastAsia" w:ascii="宋体" w:hAnsi="宋体"/>
          <w:b/>
          <w:color w:val="auto"/>
          <w:sz w:val="28"/>
          <w:highlight w:val="none"/>
        </w:rPr>
        <w:t xml:space="preserve">        </w:t>
      </w:r>
      <w:r>
        <w:rPr>
          <w:rFonts w:hint="eastAsia" w:ascii="宋体" w:hAnsi="宋体"/>
          <w:b/>
          <w:color w:val="auto"/>
          <w:sz w:val="28"/>
          <w:highlight w:val="none"/>
          <w:u w:val="single"/>
        </w:rPr>
        <w:t xml:space="preserve">     </w:t>
      </w:r>
      <w:r>
        <w:rPr>
          <w:rFonts w:hint="eastAsia" w:ascii="宋体" w:hAnsi="宋体"/>
          <w:bCs/>
          <w:color w:val="auto"/>
          <w:sz w:val="24"/>
          <w:highlight w:val="none"/>
        </w:rPr>
        <w:t>本</w:t>
      </w:r>
    </w:p>
    <w:p>
      <w:pPr>
        <w:spacing w:line="360" w:lineRule="auto"/>
        <w:rPr>
          <w:rFonts w:asciiTheme="minorEastAsia" w:hAnsiTheme="minorEastAsia" w:eastAsiaTheme="minorEastAsia"/>
          <w:b/>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资格证明文件目录</w:t>
      </w:r>
    </w:p>
    <w:p>
      <w:pPr>
        <w:pStyle w:val="19"/>
        <w:rPr>
          <w:color w:val="auto"/>
          <w:highlight w:val="none"/>
        </w:rPr>
      </w:pPr>
      <w:r>
        <w:rPr>
          <w:rFonts w:hint="eastAsia" w:ascii="宋体" w:hAnsi="宋体"/>
          <w:color w:val="auto"/>
          <w:szCs w:val="36"/>
          <w:highlight w:val="none"/>
        </w:rPr>
        <w:t>（仅供参考）</w:t>
      </w:r>
    </w:p>
    <w:p>
      <w:pPr>
        <w:snapToGrid w:val="0"/>
        <w:spacing w:before="50" w:after="50" w:line="360" w:lineRule="auto"/>
        <w:jc w:val="center"/>
        <w:rPr>
          <w:rFonts w:ascii="仿宋_GB2312" w:hAnsi="宋体" w:eastAsia="仿宋_GB2312"/>
          <w:b/>
          <w:bCs/>
          <w:color w:val="auto"/>
          <w:sz w:val="36"/>
          <w:szCs w:val="36"/>
          <w:highlight w:val="none"/>
        </w:rPr>
      </w:pPr>
    </w:p>
    <w:p>
      <w:pPr>
        <w:numPr>
          <w:ilvl w:val="0"/>
          <w:numId w:val="11"/>
        </w:numPr>
        <w:snapToGrid w:val="0"/>
        <w:spacing w:line="360" w:lineRule="auto"/>
        <w:ind w:firstLine="548" w:firstLineChars="196"/>
        <w:rPr>
          <w:rFonts w:ascii="宋体" w:hAnsi="宋体"/>
          <w:color w:val="auto"/>
          <w:sz w:val="28"/>
          <w:szCs w:val="28"/>
          <w:highlight w:val="none"/>
        </w:rPr>
      </w:pPr>
      <w:r>
        <w:rPr>
          <w:rFonts w:hint="eastAsia" w:ascii="宋体" w:hAnsi="宋体"/>
          <w:color w:val="auto"/>
          <w:sz w:val="28"/>
          <w:szCs w:val="28"/>
          <w:highlight w:val="none"/>
        </w:rPr>
        <w:t>声明书（附件2）</w:t>
      </w:r>
    </w:p>
    <w:p>
      <w:pPr>
        <w:numPr>
          <w:ilvl w:val="0"/>
          <w:numId w:val="11"/>
        </w:numPr>
        <w:snapToGrid w:val="0"/>
        <w:spacing w:line="360" w:lineRule="auto"/>
        <w:ind w:firstLine="548" w:firstLineChars="196"/>
        <w:rPr>
          <w:rFonts w:ascii="宋体" w:hAnsi="宋体"/>
          <w:color w:val="auto"/>
          <w:kern w:val="0"/>
          <w:sz w:val="28"/>
          <w:szCs w:val="28"/>
          <w:highlight w:val="none"/>
        </w:rPr>
      </w:pPr>
      <w:r>
        <w:rPr>
          <w:bCs/>
          <w:color w:val="auto"/>
          <w:sz w:val="28"/>
          <w:szCs w:val="28"/>
          <w:highlight w:val="none"/>
        </w:rPr>
        <w:t>授权</w:t>
      </w:r>
      <w:r>
        <w:rPr>
          <w:rFonts w:hint="eastAsia"/>
          <w:bCs/>
          <w:color w:val="auto"/>
          <w:sz w:val="28"/>
          <w:szCs w:val="28"/>
          <w:highlight w:val="none"/>
        </w:rPr>
        <w:t>委托</w:t>
      </w:r>
      <w:r>
        <w:rPr>
          <w:bCs/>
          <w:color w:val="auto"/>
          <w:sz w:val="28"/>
          <w:szCs w:val="28"/>
          <w:highlight w:val="none"/>
        </w:rPr>
        <w:t>书</w:t>
      </w:r>
      <w:r>
        <w:rPr>
          <w:rFonts w:hint="eastAsia" w:ascii="宋体" w:hAnsi="宋体"/>
          <w:bCs/>
          <w:color w:val="auto"/>
          <w:sz w:val="28"/>
          <w:szCs w:val="28"/>
          <w:highlight w:val="none"/>
        </w:rPr>
        <w:t>（附件3）</w:t>
      </w:r>
    </w:p>
    <w:p>
      <w:pPr>
        <w:numPr>
          <w:ilvl w:val="0"/>
          <w:numId w:val="11"/>
        </w:numPr>
        <w:snapToGrid w:val="0"/>
        <w:spacing w:line="360" w:lineRule="auto"/>
        <w:ind w:left="1050" w:leftChars="259" w:hanging="506" w:hangingChars="181"/>
        <w:rPr>
          <w:rFonts w:ascii="宋体" w:hAnsi="宋体"/>
          <w:color w:val="auto"/>
          <w:kern w:val="0"/>
          <w:sz w:val="28"/>
          <w:szCs w:val="28"/>
          <w:highlight w:val="none"/>
        </w:rPr>
      </w:pPr>
      <w:r>
        <w:rPr>
          <w:color w:val="auto"/>
          <w:sz w:val="28"/>
          <w:szCs w:val="28"/>
          <w:highlight w:val="none"/>
        </w:rPr>
        <w:t>法人或者其他组织的营业执照等证明文件，自然人的身份证明</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w:t>
      </w:r>
      <w:r>
        <w:rPr>
          <w:color w:val="auto"/>
          <w:sz w:val="28"/>
          <w:szCs w:val="28"/>
          <w:highlight w:val="none"/>
        </w:rPr>
        <w:t>财务状况报告，依法缴纳税收和社会保障资金的相关材料</w:t>
      </w:r>
    </w:p>
    <w:p>
      <w:pPr>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w:t>
      </w:r>
      <w:r>
        <w:rPr>
          <w:color w:val="auto"/>
          <w:sz w:val="28"/>
          <w:szCs w:val="28"/>
          <w:highlight w:val="none"/>
        </w:rPr>
        <w:t>具备履行合同所必需的设备和专业技术能力的证明材料</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sz w:val="28"/>
          <w:szCs w:val="28"/>
          <w:highlight w:val="none"/>
        </w:rPr>
        <w:t>6、</w:t>
      </w:r>
      <w:r>
        <w:rPr>
          <w:rFonts w:hint="eastAsia" w:ascii="宋体" w:hAnsi="宋体"/>
          <w:color w:val="auto"/>
          <w:kern w:val="0"/>
          <w:sz w:val="28"/>
          <w:szCs w:val="28"/>
          <w:highlight w:val="none"/>
        </w:rPr>
        <w:t>本项目要求的特定资质证书</w:t>
      </w:r>
      <w:r>
        <w:rPr>
          <w:rFonts w:hint="eastAsia" w:ascii="宋体" w:hAnsi="宋体"/>
          <w:color w:val="auto"/>
          <w:kern w:val="0"/>
          <w:sz w:val="28"/>
          <w:szCs w:val="28"/>
          <w:highlight w:val="none"/>
          <w:lang w:eastAsia="zh-CN"/>
        </w:rPr>
        <w:t>（若有）</w:t>
      </w:r>
      <w:r>
        <w:rPr>
          <w:rFonts w:hint="eastAsia" w:ascii="宋体" w:hAnsi="宋体"/>
          <w:color w:val="auto"/>
          <w:kern w:val="0"/>
          <w:sz w:val="28"/>
          <w:szCs w:val="28"/>
          <w:highlight w:val="none"/>
        </w:rPr>
        <w:t>（</w:t>
      </w:r>
      <w:r>
        <w:rPr>
          <w:rFonts w:hint="eastAsia" w:ascii="宋体" w:hAnsi="宋体"/>
          <w:color w:val="auto"/>
          <w:kern w:val="0"/>
          <w:sz w:val="28"/>
          <w:szCs w:val="28"/>
          <w:highlight w:val="none"/>
          <w:u w:val="single"/>
        </w:rPr>
        <w:t>或评标时所需的证书材料</w:t>
      </w:r>
      <w:r>
        <w:rPr>
          <w:rFonts w:hint="eastAsia" w:ascii="宋体" w:hAnsi="宋体"/>
          <w:color w:val="auto"/>
          <w:kern w:val="0"/>
          <w:sz w:val="28"/>
          <w:szCs w:val="28"/>
          <w:highlight w:val="none"/>
        </w:rPr>
        <w:t>）</w:t>
      </w:r>
    </w:p>
    <w:p>
      <w:pPr>
        <w:spacing w:line="360" w:lineRule="auto"/>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ind w:left="420"/>
        <w:rPr>
          <w:rFonts w:ascii="宋体" w:hAnsi="宋体"/>
          <w:b/>
          <w:color w:val="auto"/>
          <w:sz w:val="28"/>
          <w:highlight w:val="none"/>
        </w:rPr>
      </w:pPr>
    </w:p>
    <w:p>
      <w:pPr>
        <w:spacing w:line="360" w:lineRule="auto"/>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ind w:left="420"/>
        <w:rPr>
          <w:rFonts w:ascii="宋体" w:hAnsi="宋体"/>
          <w:b/>
          <w:color w:val="auto"/>
          <w:sz w:val="28"/>
          <w:highlight w:val="none"/>
        </w:rPr>
      </w:pPr>
      <w:r>
        <w:rPr>
          <w:rFonts w:hint="eastAsia" w:ascii="宋体" w:hAnsi="宋体"/>
          <w:b/>
          <w:color w:val="auto"/>
          <w:sz w:val="28"/>
          <w:highlight w:val="none"/>
        </w:rPr>
        <w:t>附件2</w:t>
      </w:r>
    </w:p>
    <w:p>
      <w:pPr>
        <w:adjustRightInd w:val="0"/>
        <w:snapToGrid w:val="0"/>
        <w:spacing w:line="360" w:lineRule="auto"/>
        <w:ind w:right="480"/>
        <w:jc w:val="center"/>
        <w:rPr>
          <w:rFonts w:ascii="宋体" w:hAnsi="宋体"/>
          <w:b/>
          <w:color w:val="auto"/>
          <w:kern w:val="0"/>
          <w:sz w:val="32"/>
          <w:szCs w:val="32"/>
          <w:highlight w:val="none"/>
          <w:lang w:val="zh-CN"/>
        </w:rPr>
      </w:pPr>
      <w:r>
        <w:rPr>
          <w:rFonts w:hint="eastAsia" w:ascii="宋体" w:hAnsi="宋体"/>
          <w:b/>
          <w:color w:val="auto"/>
          <w:kern w:val="0"/>
          <w:sz w:val="32"/>
          <w:szCs w:val="32"/>
          <w:highlight w:val="none"/>
          <w:lang w:val="zh-CN"/>
        </w:rPr>
        <w:t>投标声明书</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theme="minorBidi"/>
          <w:color w:val="auto"/>
          <w:sz w:val="24"/>
          <w:highlight w:val="none"/>
          <w:u w:val="single"/>
        </w:rPr>
        <w:t xml:space="preserve">        </w:t>
      </w:r>
      <w:r>
        <w:rPr>
          <w:rFonts w:hint="eastAsia" w:ascii="宋体" w:hAnsi="宋体" w:cs="宋体"/>
          <w:color w:val="auto"/>
          <w:kern w:val="0"/>
          <w:sz w:val="24"/>
          <w:highlight w:val="none"/>
        </w:rPr>
        <w:t>（采购代理机构名称）：</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（投标人名称）系中华人民共和国合法企业，经营地址。</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投标人名称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pPr>
        <w:snapToGrid w:val="0"/>
        <w:spacing w:before="156" w:beforeLines="50" w:after="50" w:line="400" w:lineRule="exact"/>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1、</w:t>
      </w:r>
      <w:r>
        <w:rPr>
          <w:rFonts w:hint="eastAsia" w:ascii="Arial" w:hAnsi="Arial" w:cs="Arial"/>
          <w:color w:val="auto"/>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2、我公司</w:t>
      </w:r>
      <w:r>
        <w:rPr>
          <w:rFonts w:ascii="宋体" w:hAnsi="宋体" w:cs="宋体"/>
          <w:color w:val="auto"/>
          <w:kern w:val="0"/>
          <w:sz w:val="24"/>
          <w:highlight w:val="none"/>
        </w:rPr>
        <w:t>在参与投标前已</w:t>
      </w:r>
      <w:r>
        <w:rPr>
          <w:rFonts w:hint="eastAsia" w:ascii="宋体" w:hAnsi="宋体" w:cs="宋体"/>
          <w:color w:val="auto"/>
          <w:kern w:val="0"/>
          <w:sz w:val="24"/>
          <w:highlight w:val="none"/>
        </w:rPr>
        <w:t>详细审查</w:t>
      </w:r>
      <w:r>
        <w:rPr>
          <w:rFonts w:ascii="宋体" w:hAnsi="宋体" w:cs="宋体"/>
          <w:color w:val="auto"/>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kern w:val="0"/>
          <w:sz w:val="24"/>
          <w:highlight w:val="none"/>
        </w:rPr>
        <w:t>利。</w:t>
      </w:r>
    </w:p>
    <w:p>
      <w:pPr>
        <w:numPr>
          <w:ilvl w:val="255"/>
          <w:numId w:val="0"/>
        </w:numPr>
        <w:snapToGrid w:val="0"/>
        <w:spacing w:before="156" w:beforeLines="50" w:after="50" w:line="400" w:lineRule="exact"/>
        <w:ind w:firstLine="480" w:firstLineChars="200"/>
        <w:rPr>
          <w:rFonts w:ascii="宋体" w:hAnsi="宋体"/>
          <w:color w:val="auto"/>
          <w:sz w:val="24"/>
          <w:highlight w:val="none"/>
        </w:rPr>
      </w:pPr>
      <w:r>
        <w:rPr>
          <w:rFonts w:hint="eastAsia" w:ascii="宋体" w:hAnsi="宋体"/>
          <w:color w:val="auto"/>
          <w:sz w:val="24"/>
          <w:highlight w:val="none"/>
        </w:rPr>
        <w:t>3、我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不是采购人的附属机构；在获知本项目采购信息后，与采购人聘请的为此项目提供咨询服务的公司及其附属机构没有任何联系。</w:t>
      </w:r>
    </w:p>
    <w:p>
      <w:pPr>
        <w:snapToGrid w:val="0"/>
        <w:spacing w:before="156" w:beforeLines="50" w:after="50" w:line="400" w:lineRule="exact"/>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pPr>
        <w:snapToGrid w:val="0"/>
        <w:spacing w:before="156" w:beforeLines="50" w:after="50" w:line="400" w:lineRule="exact"/>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严格履行政府采购合同，不降低合同约定的产品质量和服务，不擅自变更、中止、终止合同，或拒绝履行合同义务；</w:t>
      </w:r>
    </w:p>
    <w:p>
      <w:pPr>
        <w:snapToGrid w:val="0"/>
        <w:spacing w:before="156" w:beforeLines="50" w:after="50" w:line="400" w:lineRule="exact"/>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pPr>
        <w:adjustRightInd w:val="0"/>
        <w:snapToGrid w:val="0"/>
        <w:spacing w:line="400" w:lineRule="exact"/>
        <w:ind w:firstLine="480"/>
        <w:rPr>
          <w:rFonts w:ascii="宋体" w:hAnsi="宋体" w:cs="仿宋_GB2312"/>
          <w:color w:val="auto"/>
          <w:kern w:val="0"/>
          <w:sz w:val="24"/>
          <w:highlight w:val="none"/>
        </w:rPr>
      </w:pPr>
    </w:p>
    <w:p>
      <w:pPr>
        <w:adjustRightInd w:val="0"/>
        <w:snapToGrid w:val="0"/>
        <w:spacing w:line="400" w:lineRule="exact"/>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投标人名称(公章)：</w:t>
      </w:r>
    </w:p>
    <w:p>
      <w:pPr>
        <w:adjustRightInd w:val="0"/>
        <w:snapToGrid w:val="0"/>
        <w:spacing w:line="40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w:t>
      </w:r>
    </w:p>
    <w:p>
      <w:pPr>
        <w:adjustRightInd w:val="0"/>
        <w:snapToGrid w:val="0"/>
        <w:spacing w:line="400" w:lineRule="exact"/>
        <w:ind w:right="480"/>
        <w:jc w:val="center"/>
        <w:rPr>
          <w:rFonts w:ascii="宋体" w:hAnsi="宋体"/>
          <w:b/>
          <w:color w:val="auto"/>
          <w:sz w:val="28"/>
          <w:highlight w:val="none"/>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 xml:space="preserve">月 </w:t>
      </w:r>
      <w:r>
        <w:rPr>
          <w:rFonts w:hint="eastAsia" w:ascii="宋体" w:hAnsi="宋体" w:cstheme="minorBidi"/>
          <w:color w:val="auto"/>
          <w:sz w:val="24"/>
          <w:highlight w:val="none"/>
        </w:rPr>
        <w:t xml:space="preserve">  </w:t>
      </w:r>
      <w:r>
        <w:rPr>
          <w:rFonts w:hint="eastAsia" w:ascii="宋体" w:hAnsi="宋体" w:cs="仿宋_GB2312"/>
          <w:color w:val="auto"/>
          <w:kern w:val="0"/>
          <w:sz w:val="24"/>
          <w:highlight w:val="none"/>
          <w:lang w:val="zh-CN"/>
        </w:rPr>
        <w:t>日</w:t>
      </w:r>
    </w:p>
    <w:p>
      <w:pPr>
        <w:rPr>
          <w:rFonts w:ascii="宋体" w:hAnsi="宋体"/>
          <w:b/>
          <w:color w:val="auto"/>
          <w:sz w:val="28"/>
          <w:highlight w:val="none"/>
        </w:rPr>
      </w:pPr>
      <w:r>
        <w:rPr>
          <w:rFonts w:hint="eastAsia" w:ascii="宋体" w:hAnsi="宋体"/>
          <w:b/>
          <w:color w:val="auto"/>
          <w:sz w:val="28"/>
          <w:highlight w:val="none"/>
        </w:rPr>
        <w:br w:type="page"/>
      </w:r>
    </w:p>
    <w:p>
      <w:pPr>
        <w:adjustRightInd w:val="0"/>
        <w:snapToGrid w:val="0"/>
        <w:spacing w:line="360" w:lineRule="auto"/>
        <w:ind w:right="480"/>
        <w:rPr>
          <w:rFonts w:ascii="宋体"/>
          <w:b/>
          <w:color w:val="auto"/>
          <w:sz w:val="30"/>
          <w:szCs w:val="30"/>
          <w:highlight w:val="none"/>
        </w:rPr>
      </w:pPr>
      <w:r>
        <w:rPr>
          <w:rFonts w:hint="eastAsia" w:ascii="宋体" w:hAnsi="宋体"/>
          <w:b/>
          <w:color w:val="auto"/>
          <w:sz w:val="28"/>
          <w:highlight w:val="none"/>
        </w:rPr>
        <w:t>附件3</w:t>
      </w:r>
    </w:p>
    <w:p>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pPr>
        <w:snapToGrid w:val="0"/>
        <w:spacing w:before="156" w:beforeLines="50" w:after="50" w:line="360" w:lineRule="auto"/>
        <w:ind w:firstLine="480" w:firstLineChars="200"/>
        <w:rPr>
          <w:rFonts w:ascii="宋体" w:hAnsi="宋体" w:cs="宋体"/>
          <w:color w:val="auto"/>
          <w:kern w:val="0"/>
          <w:sz w:val="24"/>
          <w:highlight w:val="none"/>
        </w:rPr>
      </w:pPr>
      <w:r>
        <w:rPr>
          <w:rFonts w:hAnsi="宋体"/>
          <w:color w:val="auto"/>
          <w:sz w:val="24"/>
          <w:highlight w:val="none"/>
          <w:u w:val="single"/>
        </w:rPr>
        <w:t xml:space="preserve">  </w:t>
      </w:r>
      <w:r>
        <w:rPr>
          <w:rFonts w:hint="eastAsia" w:hAnsi="宋体"/>
          <w:color w:val="auto"/>
          <w:sz w:val="24"/>
          <w:highlight w:val="none"/>
          <w:u w:val="single"/>
        </w:rPr>
        <w:t xml:space="preserve">    </w:t>
      </w:r>
      <w:r>
        <w:rPr>
          <w:rFonts w:hint="eastAsia" w:ascii="宋体" w:hAnsi="宋体" w:cs="宋体"/>
          <w:color w:val="auto"/>
          <w:kern w:val="0"/>
          <w:sz w:val="24"/>
          <w:highlight w:val="none"/>
        </w:rPr>
        <w:t>（采购代理机构名称）：</w:t>
      </w:r>
    </w:p>
    <w:p>
      <w:pPr>
        <w:pStyle w:val="13"/>
        <w:spacing w:line="500" w:lineRule="exact"/>
        <w:ind w:left="240" w:hanging="240" w:hangingChars="100"/>
        <w:rPr>
          <w:rFonts w:hAnsi="宋体"/>
          <w:color w:val="auto"/>
          <w:sz w:val="24"/>
          <w:highlight w:val="none"/>
        </w:rPr>
      </w:pPr>
      <w:r>
        <w:rPr>
          <w:rFonts w:hAnsi="宋体"/>
          <w:color w:val="auto"/>
          <w:sz w:val="24"/>
          <w:highlight w:val="none"/>
        </w:rPr>
        <w:t xml:space="preserve">    </w:t>
      </w:r>
      <w:r>
        <w:rPr>
          <w:rFonts w:hAnsi="宋体"/>
          <w:color w:val="auto"/>
          <w:sz w:val="24"/>
          <w:highlight w:val="none"/>
          <w:u w:val="single"/>
        </w:rPr>
        <w:t xml:space="preserve">  （投标人全称）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int="eastAsia" w:hAnsi="宋体"/>
          <w:color w:val="auto"/>
          <w:sz w:val="24"/>
          <w:highlight w:val="none"/>
          <w:u w:val="single"/>
        </w:rPr>
        <w:t xml:space="preserve">    </w:t>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color w:val="auto"/>
          <w:sz w:val="24"/>
          <w:highlight w:val="none"/>
        </w:rPr>
      </w:pPr>
      <w:r>
        <w:rPr>
          <w:rFonts w:hint="eastAsia" w:hAnsi="宋体"/>
          <w:color w:val="auto"/>
          <w:sz w:val="24"/>
          <w:highlight w:val="none"/>
        </w:rPr>
        <w:t>全权代表无转委托权，特此委托。</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法定代表人签字或盖章：</w:t>
      </w:r>
    </w:p>
    <w:p>
      <w:pPr>
        <w:spacing w:line="360" w:lineRule="auto"/>
        <w:rPr>
          <w:color w:val="auto"/>
          <w:sz w:val="24"/>
          <w:highlight w:val="none"/>
        </w:rPr>
      </w:pPr>
    </w:p>
    <w:p>
      <w:pPr>
        <w:spacing w:line="360" w:lineRule="auto"/>
        <w:rPr>
          <w:color w:val="auto"/>
          <w:sz w:val="24"/>
          <w:highlight w:val="none"/>
        </w:rPr>
      </w:pPr>
      <w:r>
        <w:rPr>
          <w:rFonts w:hint="eastAsia" w:ascii="宋体"/>
          <w:color w:val="auto"/>
          <w:sz w:val="24"/>
          <w:highlight w:val="none"/>
        </w:rPr>
        <w:t>投标人全称（公章）：                              日期：</w:t>
      </w:r>
    </w:p>
    <w:p>
      <w:pPr>
        <w:spacing w:line="360" w:lineRule="auto"/>
        <w:rPr>
          <w:b/>
          <w:color w:val="auto"/>
          <w:sz w:val="24"/>
          <w:highlight w:val="none"/>
        </w:rPr>
      </w:pPr>
      <w:r>
        <w:rPr>
          <w:rFonts w:hint="eastAsia" w:ascii="宋体"/>
          <w:b/>
          <w:color w:val="auto"/>
          <w:sz w:val="24"/>
          <w:highlight w:val="none"/>
        </w:rPr>
        <w:t>附：</w:t>
      </w: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法定代表身份证复印件粘帖处</w:t>
            </w:r>
          </w:p>
        </w:tc>
      </w:tr>
    </w:tbl>
    <w:p>
      <w:pPr>
        <w:spacing w:line="360" w:lineRule="auto"/>
        <w:rPr>
          <w:color w:val="auto"/>
          <w:sz w:val="24"/>
          <w:highlight w:val="none"/>
        </w:rPr>
      </w:pPr>
      <w:r>
        <w:rPr>
          <w:rFonts w:hint="eastAsia" w:ascii="宋体"/>
          <w:color w:val="auto"/>
          <w:sz w:val="24"/>
          <w:highlight w:val="none"/>
        </w:rPr>
        <w:t xml:space="preserve">法定代表人姓名：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pacing w:line="360" w:lineRule="auto"/>
        <w:rPr>
          <w:b/>
          <w:color w:val="auto"/>
          <w:sz w:val="24"/>
          <w:highlight w:val="none"/>
        </w:rPr>
      </w:pPr>
    </w:p>
    <w:tbl>
      <w:tblPr>
        <w:tblStyle w:val="22"/>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360" w:lineRule="auto"/>
              <w:rPr>
                <w:rFonts w:ascii="宋体"/>
                <w:b/>
                <w:color w:val="auto"/>
                <w:sz w:val="24"/>
                <w:highlight w:val="none"/>
              </w:rPr>
            </w:pPr>
          </w:p>
          <w:p>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全权代表身份证复印件粘帖处</w:t>
            </w:r>
          </w:p>
        </w:tc>
      </w:tr>
    </w:tbl>
    <w:p>
      <w:pPr>
        <w:spacing w:line="360" w:lineRule="auto"/>
        <w:rPr>
          <w:rFonts w:ascii="宋体"/>
          <w:color w:val="auto"/>
          <w:sz w:val="24"/>
          <w:highlight w:val="none"/>
        </w:rPr>
      </w:pPr>
      <w:r>
        <w:rPr>
          <w:rFonts w:hint="eastAsia" w:ascii="宋体"/>
          <w:color w:val="auto"/>
          <w:sz w:val="24"/>
          <w:highlight w:val="none"/>
        </w:rPr>
        <w:t xml:space="preserve">全权代表姓名：       </w:t>
      </w:r>
    </w:p>
    <w:p>
      <w:pPr>
        <w:spacing w:line="360" w:lineRule="auto"/>
        <w:rPr>
          <w:color w:val="auto"/>
          <w:sz w:val="24"/>
          <w:highlight w:val="none"/>
        </w:rPr>
      </w:pPr>
      <w:r>
        <w:rPr>
          <w:rFonts w:hint="eastAsia" w:ascii="宋体"/>
          <w:color w:val="auto"/>
          <w:sz w:val="24"/>
          <w:highlight w:val="none"/>
        </w:rPr>
        <w:t xml:space="preserve">职务：                           </w:t>
      </w:r>
    </w:p>
    <w:p>
      <w:pPr>
        <w:spacing w:line="360" w:lineRule="auto"/>
        <w:rPr>
          <w:color w:val="auto"/>
          <w:sz w:val="24"/>
          <w:highlight w:val="none"/>
        </w:rPr>
      </w:pPr>
      <w:r>
        <w:rPr>
          <w:rFonts w:hint="eastAsia" w:ascii="宋体"/>
          <w:color w:val="auto"/>
          <w:sz w:val="24"/>
          <w:highlight w:val="none"/>
        </w:rPr>
        <w:t>传真：</w:t>
      </w:r>
    </w:p>
    <w:p>
      <w:pPr>
        <w:spacing w:line="360" w:lineRule="auto"/>
        <w:rPr>
          <w:rFonts w:ascii="宋体"/>
          <w:color w:val="auto"/>
          <w:sz w:val="24"/>
          <w:highlight w:val="none"/>
        </w:rPr>
      </w:pPr>
      <w:r>
        <w:rPr>
          <w:rFonts w:hint="eastAsia" w:ascii="宋体"/>
          <w:color w:val="auto"/>
          <w:sz w:val="24"/>
          <w:highlight w:val="none"/>
        </w:rPr>
        <w:t>电话：</w:t>
      </w:r>
    </w:p>
    <w:p>
      <w:pPr>
        <w:spacing w:line="360" w:lineRule="auto"/>
        <w:rPr>
          <w:color w:val="auto"/>
          <w:sz w:val="24"/>
          <w:highlight w:val="none"/>
        </w:rPr>
      </w:pPr>
      <w:r>
        <w:rPr>
          <w:rFonts w:hint="eastAsia" w:ascii="宋体"/>
          <w:color w:val="auto"/>
          <w:sz w:val="24"/>
          <w:highlight w:val="none"/>
        </w:rPr>
        <w:t>详细通讯地址：</w:t>
      </w:r>
    </w:p>
    <w:p>
      <w:pPr>
        <w:spacing w:line="360" w:lineRule="auto"/>
        <w:rPr>
          <w:rFonts w:ascii="宋体"/>
          <w:color w:val="auto"/>
          <w:sz w:val="24"/>
          <w:highlight w:val="none"/>
        </w:rPr>
      </w:pPr>
      <w:r>
        <w:rPr>
          <w:rFonts w:hint="eastAsia" w:ascii="宋体"/>
          <w:color w:val="auto"/>
          <w:sz w:val="24"/>
          <w:highlight w:val="none"/>
        </w:rPr>
        <w:t>邮政编码：</w:t>
      </w:r>
    </w:p>
    <w:p>
      <w:pPr>
        <w:snapToGrid w:val="0"/>
        <w:spacing w:before="156" w:beforeLines="50" w:after="50" w:line="360" w:lineRule="auto"/>
        <w:rPr>
          <w:rFonts w:ascii="仿宋_GB2312" w:hAnsi="宋体" w:eastAsia="仿宋_GB2312"/>
          <w:b/>
          <w:color w:val="auto"/>
          <w:sz w:val="30"/>
          <w:szCs w:val="30"/>
          <w:highlight w:val="none"/>
        </w:rPr>
      </w:pPr>
      <w:r>
        <w:rPr>
          <w:rFonts w:hint="eastAsia" w:ascii="宋体" w:hAnsi="宋体"/>
          <w:b/>
          <w:color w:val="auto"/>
          <w:sz w:val="28"/>
          <w:highlight w:val="none"/>
        </w:rPr>
        <w:t>附件4：</w:t>
      </w:r>
    </w:p>
    <w:p>
      <w:pPr>
        <w:snapToGrid w:val="0"/>
        <w:spacing w:before="156" w:beforeLines="50" w:after="50" w:line="360" w:lineRule="auto"/>
        <w:jc w:val="right"/>
        <w:rPr>
          <w:rFonts w:ascii="仿宋_GB2312" w:hAnsi="宋体" w:eastAsia="仿宋_GB2312"/>
          <w:bCs/>
          <w:color w:val="auto"/>
          <w:sz w:val="30"/>
          <w:szCs w:val="30"/>
          <w:highlight w:val="none"/>
        </w:rPr>
      </w:pP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pacing w:val="40"/>
          <w:sz w:val="28"/>
          <w:szCs w:val="28"/>
          <w:highlight w:val="none"/>
        </w:rPr>
        <w:t>）</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投标人全称（公章）：</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532" w:firstLine="720" w:firstLineChars="200"/>
        <w:rPr>
          <w:rFonts w:ascii="宋体" w:hAnsi="宋体"/>
          <w:color w:val="auto"/>
          <w:sz w:val="36"/>
          <w:szCs w:val="36"/>
          <w:highlight w:val="none"/>
        </w:rPr>
      </w:pPr>
    </w:p>
    <w:p>
      <w:pPr>
        <w:snapToGrid w:val="0"/>
        <w:spacing w:before="50" w:after="50" w:line="360" w:lineRule="auto"/>
        <w:rPr>
          <w:rFonts w:ascii="仿宋_GB2312" w:hAnsi="宋体" w:eastAsia="仿宋_GB2312"/>
          <w:b/>
          <w:color w:val="auto"/>
          <w:sz w:val="36"/>
          <w:szCs w:val="36"/>
          <w:highlight w:val="none"/>
        </w:rPr>
      </w:pPr>
    </w:p>
    <w:p>
      <w:pPr>
        <w:snapToGrid w:val="0"/>
        <w:spacing w:before="50" w:after="50"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lang w:val="zh-CN"/>
        </w:rPr>
        <w:t>商务与技术文件</w:t>
      </w:r>
      <w:r>
        <w:rPr>
          <w:rFonts w:hint="eastAsia" w:ascii="宋体" w:hAnsi="宋体"/>
          <w:b/>
          <w:bCs/>
          <w:color w:val="auto"/>
          <w:sz w:val="32"/>
          <w:szCs w:val="32"/>
          <w:highlight w:val="none"/>
        </w:rPr>
        <w:t>目录</w:t>
      </w:r>
    </w:p>
    <w:p>
      <w:pPr>
        <w:pStyle w:val="19"/>
        <w:rPr>
          <w:color w:val="auto"/>
          <w:highlight w:val="none"/>
        </w:rPr>
      </w:pPr>
      <w:r>
        <w:rPr>
          <w:rFonts w:hint="eastAsia" w:ascii="宋体" w:hAnsi="宋体"/>
          <w:color w:val="auto"/>
          <w:szCs w:val="36"/>
          <w:highlight w:val="none"/>
        </w:rPr>
        <w:t>（</w:t>
      </w:r>
      <w:r>
        <w:rPr>
          <w:rFonts w:hint="eastAsia" w:ascii="宋体" w:hAnsi="宋体"/>
          <w:color w:val="auto"/>
          <w:szCs w:val="36"/>
          <w:highlight w:val="none"/>
          <w:u w:val="single"/>
        </w:rPr>
        <w:t>仅供参考</w:t>
      </w:r>
      <w:r>
        <w:rPr>
          <w:rFonts w:hint="eastAsia" w:ascii="宋体" w:hAnsi="宋体"/>
          <w:color w:val="auto"/>
          <w:szCs w:val="36"/>
          <w:highlight w:val="none"/>
        </w:rPr>
        <w:t>）</w:t>
      </w:r>
    </w:p>
    <w:p>
      <w:pPr>
        <w:snapToGrid w:val="0"/>
        <w:spacing w:line="360" w:lineRule="auto"/>
        <w:ind w:firstLine="562" w:firstLineChars="200"/>
        <w:rPr>
          <w:rFonts w:ascii="宋体" w:hAnsi="宋体"/>
          <w:b/>
          <w:bCs/>
          <w:color w:val="auto"/>
          <w:sz w:val="28"/>
          <w:szCs w:val="28"/>
          <w:highlight w:val="none"/>
        </w:rPr>
      </w:pPr>
    </w:p>
    <w:p>
      <w:pPr>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得分自查表（</w:t>
      </w:r>
      <w:r>
        <w:rPr>
          <w:rFonts w:hint="eastAsia" w:ascii="宋体" w:hAnsi="宋体"/>
          <w:b/>
          <w:bCs/>
          <w:color w:val="auto"/>
          <w:sz w:val="28"/>
          <w:szCs w:val="28"/>
          <w:highlight w:val="none"/>
          <w:u w:val="single"/>
        </w:rPr>
        <w:t>附件1</w:t>
      </w:r>
      <w:r>
        <w:rPr>
          <w:rFonts w:hint="eastAsia" w:ascii="宋体" w:hAnsi="宋体"/>
          <w:b/>
          <w:bCs/>
          <w:color w:val="auto"/>
          <w:sz w:val="28"/>
          <w:szCs w:val="28"/>
          <w:highlight w:val="none"/>
          <w:u w:val="single"/>
          <w:lang w:val="en-US" w:eastAsia="zh-CN"/>
        </w:rPr>
        <w:t>8</w:t>
      </w:r>
      <w:bookmarkStart w:id="37" w:name="_GoBack"/>
      <w:bookmarkEnd w:id="37"/>
      <w:r>
        <w:rPr>
          <w:rFonts w:hint="eastAsia" w:ascii="宋体" w:hAnsi="宋体"/>
          <w:b/>
          <w:bCs/>
          <w:color w:val="auto"/>
          <w:sz w:val="28"/>
          <w:szCs w:val="28"/>
          <w:highlight w:val="none"/>
        </w:rPr>
        <w:t>）</w:t>
      </w:r>
    </w:p>
    <w:p>
      <w:pPr>
        <w:snapToGrid w:val="0"/>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第一部分  总体方案描述部分</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w:t>
      </w:r>
      <w:r>
        <w:rPr>
          <w:rFonts w:hint="eastAsia" w:ascii="宋体" w:hAnsi="宋体" w:cs="宋体"/>
          <w:color w:val="auto"/>
          <w:sz w:val="28"/>
          <w:szCs w:val="28"/>
          <w:highlight w:val="none"/>
        </w:rPr>
        <w:t>投标人情况介绍</w:t>
      </w:r>
      <w:r>
        <w:rPr>
          <w:rFonts w:hint="eastAsia" w:ascii="宋体" w:hAnsi="宋体"/>
          <w:color w:val="auto"/>
          <w:sz w:val="28"/>
          <w:szCs w:val="28"/>
          <w:highlight w:val="none"/>
        </w:rPr>
        <w:t>（附件5）；</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2、总体方案描述</w:t>
      </w:r>
    </w:p>
    <w:p>
      <w:pPr>
        <w:snapToGrid w:val="0"/>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w:t>
      </w:r>
      <w:r>
        <w:rPr>
          <w:rFonts w:hint="eastAsia" w:ascii="宋体" w:hAnsi="宋体" w:cs="宋体"/>
          <w:color w:val="auto"/>
          <w:sz w:val="28"/>
          <w:szCs w:val="28"/>
          <w:highlight w:val="none"/>
        </w:rPr>
        <w:t>项目实施方案（</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附件6、附件7）</w:t>
      </w:r>
      <w:r>
        <w:rPr>
          <w:rFonts w:ascii="宋体" w:hAnsi="宋体"/>
          <w:color w:val="auto"/>
          <w:sz w:val="28"/>
          <w:szCs w:val="28"/>
          <w:highlight w:val="none"/>
        </w:rPr>
        <w:t xml:space="preserve">； </w:t>
      </w:r>
    </w:p>
    <w:p>
      <w:pPr>
        <w:snapToGrid w:val="0"/>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第二部分  投标产品描述部分</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sz w:val="28"/>
          <w:szCs w:val="28"/>
          <w:highlight w:val="none"/>
        </w:rPr>
        <w:t>1、</w:t>
      </w:r>
      <w:r>
        <w:rPr>
          <w:rFonts w:hint="eastAsia" w:ascii="宋体" w:hAnsi="宋体"/>
          <w:color w:val="auto"/>
          <w:kern w:val="0"/>
          <w:sz w:val="28"/>
          <w:szCs w:val="28"/>
          <w:highlight w:val="none"/>
        </w:rPr>
        <w:t>投标产品描述及相关资料（</w:t>
      </w:r>
      <w:r>
        <w:rPr>
          <w:rFonts w:hint="eastAsia" w:ascii="宋体" w:hAnsi="宋体" w:cs="宋体"/>
          <w:color w:val="auto"/>
          <w:sz w:val="28"/>
          <w:szCs w:val="28"/>
          <w:highlight w:val="none"/>
          <w:u w:val="single"/>
        </w:rPr>
        <w:t>可视情选用</w:t>
      </w:r>
      <w:r>
        <w:rPr>
          <w:rFonts w:hint="eastAsia" w:ascii="宋体" w:hAnsi="宋体" w:cs="宋体"/>
          <w:color w:val="auto"/>
          <w:sz w:val="28"/>
          <w:szCs w:val="28"/>
          <w:highlight w:val="none"/>
        </w:rPr>
        <w:t>附件8、附件9</w:t>
      </w:r>
      <w:r>
        <w:rPr>
          <w:rFonts w:hint="eastAsia" w:ascii="宋体" w:hAnsi="宋体"/>
          <w:color w:val="auto"/>
          <w:kern w:val="0"/>
          <w:sz w:val="28"/>
          <w:szCs w:val="28"/>
          <w:highlight w:val="none"/>
        </w:rPr>
        <w:t>）</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2、投标人</w:t>
      </w:r>
      <w:r>
        <w:rPr>
          <w:rFonts w:ascii="宋体" w:hAnsi="宋体"/>
          <w:color w:val="auto"/>
          <w:sz w:val="28"/>
          <w:szCs w:val="28"/>
          <w:highlight w:val="none"/>
        </w:rPr>
        <w:t>需要说明的其他</w:t>
      </w:r>
      <w:r>
        <w:rPr>
          <w:rFonts w:hint="eastAsia" w:ascii="宋体" w:hAnsi="宋体"/>
          <w:color w:val="auto"/>
          <w:sz w:val="28"/>
          <w:szCs w:val="28"/>
          <w:highlight w:val="none"/>
        </w:rPr>
        <w:t>内容（</w:t>
      </w:r>
      <w:r>
        <w:rPr>
          <w:rFonts w:hint="eastAsia" w:ascii="宋体" w:hAnsi="宋体" w:cs="宋体"/>
          <w:color w:val="auto"/>
          <w:sz w:val="28"/>
          <w:szCs w:val="28"/>
          <w:highlight w:val="none"/>
        </w:rPr>
        <w:t>包括可能影响投标人技术性能评分项的各类证明材料）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第三部分  商务响应部分</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1、证书一览表（附件10）</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2、类似服务业绩（附件11）</w:t>
      </w:r>
    </w:p>
    <w:p>
      <w:pPr>
        <w:snapToGrid w:val="0"/>
        <w:spacing w:line="360" w:lineRule="auto"/>
        <w:ind w:firstLine="548" w:firstLineChars="196"/>
        <w:rPr>
          <w:rFonts w:ascii="宋体" w:hAnsi="宋体"/>
          <w:color w:val="auto"/>
          <w:kern w:val="0"/>
          <w:sz w:val="28"/>
          <w:szCs w:val="28"/>
          <w:highlight w:val="none"/>
        </w:rPr>
      </w:pPr>
      <w:r>
        <w:rPr>
          <w:rFonts w:hint="eastAsia" w:ascii="宋体" w:hAnsi="宋体"/>
          <w:color w:val="auto"/>
          <w:kern w:val="0"/>
          <w:sz w:val="28"/>
          <w:szCs w:val="28"/>
          <w:highlight w:val="none"/>
        </w:rPr>
        <w:t>3、售后服务描述及承诺（</w:t>
      </w:r>
      <w:r>
        <w:rPr>
          <w:rFonts w:hint="eastAsia" w:ascii="宋体" w:hAnsi="宋体"/>
          <w:color w:val="auto"/>
          <w:kern w:val="0"/>
          <w:sz w:val="28"/>
          <w:szCs w:val="28"/>
          <w:highlight w:val="none"/>
          <w:u w:val="single"/>
        </w:rPr>
        <w:t>可视情选用</w:t>
      </w:r>
      <w:r>
        <w:rPr>
          <w:rFonts w:hint="eastAsia" w:ascii="宋体" w:hAnsi="宋体"/>
          <w:color w:val="auto"/>
          <w:kern w:val="0"/>
          <w:sz w:val="28"/>
          <w:szCs w:val="28"/>
          <w:highlight w:val="none"/>
        </w:rPr>
        <w:t>附件12，附件13）</w:t>
      </w:r>
    </w:p>
    <w:p>
      <w:pPr>
        <w:snapToGrid w:val="0"/>
        <w:spacing w:line="360" w:lineRule="auto"/>
        <w:ind w:firstLine="560" w:firstLineChars="200"/>
        <w:rPr>
          <w:rFonts w:ascii="宋体" w:hAnsi="宋体"/>
          <w:color w:val="auto"/>
          <w:kern w:val="0"/>
          <w:sz w:val="28"/>
          <w:szCs w:val="28"/>
          <w:highlight w:val="none"/>
        </w:rPr>
      </w:pPr>
      <w:r>
        <w:rPr>
          <w:rFonts w:hint="eastAsia" w:ascii="宋体" w:hAnsi="宋体"/>
          <w:color w:val="auto"/>
          <w:kern w:val="0"/>
          <w:sz w:val="28"/>
          <w:szCs w:val="28"/>
          <w:highlight w:val="none"/>
        </w:rPr>
        <w:t>4、投标人需要说明的其他内容（包括可能影响投标人企业实力及信誉评分项以及售后服务评分项的各类证明材料）</w:t>
      </w:r>
    </w:p>
    <w:p>
      <w:pPr>
        <w:snapToGrid w:val="0"/>
        <w:spacing w:line="360" w:lineRule="auto"/>
        <w:ind w:firstLine="551" w:firstLineChars="196"/>
        <w:rPr>
          <w:rFonts w:ascii="宋体" w:hAnsi="宋体"/>
          <w:b/>
          <w:bCs/>
          <w:color w:val="auto"/>
          <w:kern w:val="0"/>
          <w:sz w:val="28"/>
          <w:szCs w:val="28"/>
          <w:highlight w:val="none"/>
        </w:rPr>
      </w:pPr>
      <w:r>
        <w:rPr>
          <w:rFonts w:hint="eastAsia" w:ascii="宋体" w:hAnsi="宋体"/>
          <w:b/>
          <w:bCs/>
          <w:color w:val="auto"/>
          <w:kern w:val="0"/>
          <w:sz w:val="28"/>
          <w:szCs w:val="28"/>
          <w:highlight w:val="none"/>
        </w:rPr>
        <w:t>第四部分  技术方案</w:t>
      </w:r>
    </w:p>
    <w:p>
      <w:pPr>
        <w:snapToGrid w:val="0"/>
        <w:spacing w:line="360" w:lineRule="auto"/>
        <w:ind w:left="837" w:leftChars="260" w:hanging="291" w:hangingChars="104"/>
        <w:rPr>
          <w:rFonts w:ascii="宋体" w:hAnsi="宋体"/>
          <w:color w:val="auto"/>
          <w:kern w:val="0"/>
          <w:sz w:val="28"/>
          <w:szCs w:val="28"/>
          <w:highlight w:val="none"/>
        </w:rPr>
      </w:pPr>
    </w:p>
    <w:p>
      <w:pPr>
        <w:pStyle w:val="41"/>
        <w:shd w:val="clear" w:color="auto" w:fill="FFFFFF"/>
        <w:spacing w:before="0" w:beforeAutospacing="0" w:after="0" w:afterAutospacing="0" w:line="360" w:lineRule="auto"/>
        <w:rPr>
          <w:b/>
          <w:color w:val="auto"/>
          <w:sz w:val="28"/>
          <w:highlight w:val="none"/>
        </w:rPr>
      </w:pPr>
    </w:p>
    <w:p>
      <w:pPr>
        <w:rPr>
          <w:b/>
          <w:color w:val="auto"/>
          <w:sz w:val="28"/>
          <w:highlight w:val="none"/>
        </w:rPr>
      </w:pPr>
      <w:r>
        <w:rPr>
          <w:rFonts w:hint="eastAsia"/>
          <w:b/>
          <w:color w:val="auto"/>
          <w:sz w:val="28"/>
          <w:highlight w:val="none"/>
        </w:rPr>
        <w:br w:type="page"/>
      </w:r>
    </w:p>
    <w:p>
      <w:pPr>
        <w:pStyle w:val="41"/>
        <w:shd w:val="clear" w:color="auto" w:fill="FFFFFF"/>
        <w:spacing w:before="0" w:beforeAutospacing="0" w:after="0" w:afterAutospacing="0" w:line="400" w:lineRule="exact"/>
        <w:rPr>
          <w:b/>
          <w:color w:val="auto"/>
          <w:sz w:val="28"/>
          <w:highlight w:val="none"/>
        </w:rPr>
      </w:pPr>
      <w:r>
        <w:rPr>
          <w:rFonts w:hint="eastAsia"/>
          <w:b/>
          <w:color w:val="auto"/>
          <w:sz w:val="28"/>
          <w:highlight w:val="none"/>
        </w:rPr>
        <w:t>附件5</w:t>
      </w:r>
    </w:p>
    <w:p>
      <w:pPr>
        <w:pStyle w:val="41"/>
        <w:shd w:val="clear" w:color="auto" w:fill="FFFFFF"/>
        <w:spacing w:before="0" w:beforeAutospacing="0" w:after="0" w:afterAutospacing="0" w:line="400" w:lineRule="exact"/>
        <w:jc w:val="center"/>
        <w:rPr>
          <w:b/>
          <w:bCs/>
          <w:color w:val="auto"/>
          <w:spacing w:val="21"/>
          <w:sz w:val="32"/>
          <w:szCs w:val="32"/>
          <w:highlight w:val="none"/>
        </w:rPr>
      </w:pPr>
      <w:r>
        <w:rPr>
          <w:rFonts w:hint="eastAsia"/>
          <w:b/>
          <w:color w:val="auto"/>
          <w:sz w:val="32"/>
          <w:szCs w:val="32"/>
          <w:highlight w:val="none"/>
        </w:rPr>
        <w:t xml:space="preserve">  投标</w:t>
      </w:r>
      <w:r>
        <w:rPr>
          <w:rFonts w:hint="eastAsia"/>
          <w:b/>
          <w:bCs/>
          <w:color w:val="auto"/>
          <w:spacing w:val="21"/>
          <w:sz w:val="32"/>
          <w:szCs w:val="32"/>
          <w:highlight w:val="none"/>
        </w:rPr>
        <w:t>人基本情况表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82" w:type="dxa"/>
          </w:tcPr>
          <w:p>
            <w:pPr>
              <w:pStyle w:val="41"/>
              <w:shd w:val="clear" w:color="auto" w:fill="FFFFFF"/>
              <w:spacing w:line="360" w:lineRule="auto"/>
              <w:rPr>
                <w:bCs/>
                <w:color w:val="auto"/>
                <w:highlight w:val="none"/>
              </w:rPr>
            </w:pPr>
            <w:r>
              <w:rPr>
                <w:rFonts w:hint="eastAsia"/>
                <w:bCs/>
                <w:color w:val="auto"/>
                <w:spacing w:val="27"/>
                <w:highlight w:val="none"/>
              </w:rPr>
              <w:t>企业名称</w:t>
            </w:r>
          </w:p>
        </w:tc>
        <w:tc>
          <w:tcPr>
            <w:tcW w:w="3979" w:type="dxa"/>
            <w:gridSpan w:val="6"/>
          </w:tcPr>
          <w:p>
            <w:pPr>
              <w:pStyle w:val="41"/>
              <w:shd w:val="clear" w:color="auto" w:fill="FFFFFF"/>
              <w:spacing w:line="360" w:lineRule="auto"/>
              <w:rPr>
                <w:bCs/>
                <w:color w:val="auto"/>
                <w:highlight w:val="none"/>
              </w:rPr>
            </w:pPr>
          </w:p>
        </w:tc>
        <w:tc>
          <w:tcPr>
            <w:tcW w:w="2001" w:type="dxa"/>
            <w:gridSpan w:val="3"/>
          </w:tcPr>
          <w:p>
            <w:pPr>
              <w:pStyle w:val="41"/>
              <w:shd w:val="clear" w:color="auto" w:fill="FFFFFF"/>
              <w:spacing w:line="360" w:lineRule="auto"/>
              <w:rPr>
                <w:bCs/>
                <w:color w:val="auto"/>
                <w:highlight w:val="none"/>
              </w:rPr>
            </w:pPr>
            <w:r>
              <w:rPr>
                <w:rFonts w:hint="eastAsia"/>
                <w:bCs/>
                <w:color w:val="auto"/>
                <w:spacing w:val="16"/>
                <w:highlight w:val="none"/>
              </w:rPr>
              <w:t>法人代表</w:t>
            </w:r>
          </w:p>
        </w:tc>
        <w:tc>
          <w:tcPr>
            <w:tcW w:w="2151" w:type="dxa"/>
            <w:gridSpan w:val="2"/>
          </w:tcPr>
          <w:p>
            <w:pPr>
              <w:pStyle w:val="41"/>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dxa"/>
          </w:tcPr>
          <w:p>
            <w:pPr>
              <w:pStyle w:val="41"/>
              <w:shd w:val="clear" w:color="auto" w:fill="FFFFFF"/>
              <w:spacing w:line="360" w:lineRule="auto"/>
              <w:rPr>
                <w:bCs/>
                <w:color w:val="auto"/>
                <w:spacing w:val="16"/>
                <w:highlight w:val="none"/>
              </w:rPr>
            </w:pPr>
            <w:r>
              <w:rPr>
                <w:rFonts w:hint="eastAsia"/>
                <w:bCs/>
                <w:color w:val="auto"/>
                <w:spacing w:val="27"/>
                <w:highlight w:val="none"/>
              </w:rPr>
              <w:t>地址</w:t>
            </w:r>
          </w:p>
        </w:tc>
        <w:tc>
          <w:tcPr>
            <w:tcW w:w="3979" w:type="dxa"/>
            <w:gridSpan w:val="6"/>
            <w:tcBorders>
              <w:bottom w:val="single" w:color="auto" w:sz="4" w:space="0"/>
            </w:tcBorders>
          </w:tcPr>
          <w:p>
            <w:pPr>
              <w:pStyle w:val="41"/>
              <w:shd w:val="clear" w:color="auto" w:fill="FFFFFF"/>
              <w:spacing w:line="360" w:lineRule="auto"/>
              <w:rPr>
                <w:bCs/>
                <w:color w:val="auto"/>
                <w:spacing w:val="16"/>
                <w:highlight w:val="none"/>
              </w:rPr>
            </w:pPr>
          </w:p>
        </w:tc>
        <w:tc>
          <w:tcPr>
            <w:tcW w:w="2001" w:type="dxa"/>
            <w:gridSpan w:val="3"/>
          </w:tcPr>
          <w:p>
            <w:pPr>
              <w:pStyle w:val="41"/>
              <w:shd w:val="clear" w:color="auto" w:fill="FFFFFF"/>
              <w:spacing w:line="360" w:lineRule="auto"/>
              <w:rPr>
                <w:bCs/>
                <w:color w:val="auto"/>
                <w:spacing w:val="16"/>
                <w:highlight w:val="none"/>
              </w:rPr>
            </w:pPr>
            <w:r>
              <w:rPr>
                <w:rFonts w:hint="eastAsia"/>
                <w:bCs/>
                <w:color w:val="auto"/>
                <w:spacing w:val="16"/>
                <w:highlight w:val="none"/>
              </w:rPr>
              <w:t>企业性质</w:t>
            </w:r>
          </w:p>
        </w:tc>
        <w:tc>
          <w:tcPr>
            <w:tcW w:w="2151" w:type="dxa"/>
            <w:gridSpan w:val="2"/>
          </w:tcPr>
          <w:p>
            <w:pPr>
              <w:pStyle w:val="4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pPr>
              <w:pStyle w:val="41"/>
              <w:shd w:val="clear" w:color="auto" w:fill="FFFFFF"/>
              <w:spacing w:line="360" w:lineRule="auto"/>
              <w:rPr>
                <w:bCs/>
                <w:color w:val="auto"/>
                <w:spacing w:val="16"/>
                <w:highlight w:val="none"/>
              </w:rPr>
            </w:pPr>
            <w:r>
              <w:rPr>
                <w:rFonts w:hint="eastAsia"/>
                <w:bCs/>
                <w:color w:val="auto"/>
                <w:spacing w:val="27"/>
                <w:highlight w:val="none"/>
              </w:rPr>
              <w:t>股东姓名</w:t>
            </w:r>
          </w:p>
        </w:tc>
        <w:tc>
          <w:tcPr>
            <w:tcW w:w="701" w:type="dxa"/>
            <w:tcBorders>
              <w:bottom w:val="single" w:color="auto" w:sz="4" w:space="0"/>
            </w:tcBorders>
          </w:tcPr>
          <w:p>
            <w:pPr>
              <w:pStyle w:val="41"/>
              <w:shd w:val="clear" w:color="auto" w:fill="FFFFFF"/>
              <w:spacing w:before="0" w:beforeAutospacing="0" w:after="0" w:afterAutospacing="0" w:line="360" w:lineRule="auto"/>
              <w:rPr>
                <w:bCs/>
                <w:color w:val="auto"/>
                <w:spacing w:val="16"/>
                <w:highlight w:val="none"/>
              </w:rPr>
            </w:pPr>
          </w:p>
        </w:tc>
        <w:tc>
          <w:tcPr>
            <w:tcW w:w="910" w:type="dxa"/>
            <w:gridSpan w:val="2"/>
            <w:tcBorders>
              <w:bottom w:val="single" w:color="auto" w:sz="4" w:space="0"/>
            </w:tcBorders>
          </w:tcPr>
          <w:p>
            <w:pPr>
              <w:pStyle w:val="41"/>
              <w:shd w:val="clear" w:color="auto" w:fill="FFFFFF"/>
              <w:spacing w:line="360" w:lineRule="auto"/>
              <w:rPr>
                <w:bCs/>
                <w:color w:val="auto"/>
                <w:spacing w:val="16"/>
                <w:highlight w:val="none"/>
              </w:rPr>
            </w:pPr>
            <w:r>
              <w:rPr>
                <w:rFonts w:hint="eastAsia"/>
                <w:bCs/>
                <w:color w:val="auto"/>
                <w:spacing w:val="16"/>
                <w:highlight w:val="none"/>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41"/>
              <w:shd w:val="clear" w:color="auto" w:fill="FFFFFF"/>
              <w:spacing w:line="360" w:lineRule="auto"/>
              <w:rPr>
                <w:bCs/>
                <w:color w:val="auto"/>
                <w:spacing w:val="16"/>
                <w:highlight w:val="none"/>
              </w:rPr>
            </w:pPr>
          </w:p>
        </w:tc>
        <w:tc>
          <w:tcPr>
            <w:tcW w:w="2001" w:type="dxa"/>
            <w:gridSpan w:val="3"/>
          </w:tcPr>
          <w:p>
            <w:pPr>
              <w:pStyle w:val="41"/>
              <w:shd w:val="clear" w:color="auto" w:fill="FFFFFF"/>
              <w:spacing w:line="360" w:lineRule="auto"/>
              <w:ind w:left="107"/>
              <w:rPr>
                <w:bCs/>
                <w:color w:val="auto"/>
                <w:spacing w:val="16"/>
                <w:highlight w:val="none"/>
              </w:rPr>
            </w:pPr>
            <w:r>
              <w:rPr>
                <w:rFonts w:hint="eastAsia"/>
                <w:bCs/>
                <w:color w:val="auto"/>
                <w:spacing w:val="16"/>
                <w:highlight w:val="none"/>
              </w:rPr>
              <w:t>股东关系</w:t>
            </w:r>
          </w:p>
        </w:tc>
        <w:tc>
          <w:tcPr>
            <w:tcW w:w="2151" w:type="dxa"/>
            <w:gridSpan w:val="2"/>
          </w:tcPr>
          <w:p>
            <w:pPr>
              <w:pStyle w:val="41"/>
              <w:shd w:val="clear" w:color="auto" w:fill="FFFFFF"/>
              <w:spacing w:line="360" w:lineRule="auto"/>
              <w:ind w:left="107"/>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pPr>
              <w:pStyle w:val="41"/>
              <w:shd w:val="clear" w:color="auto" w:fill="FFFFFF"/>
              <w:spacing w:line="360" w:lineRule="auto"/>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701" w:type="dxa"/>
            <w:vMerge w:val="restart"/>
            <w:tcBorders>
              <w:top w:val="nil"/>
            </w:tcBorders>
          </w:tcPr>
          <w:p>
            <w:pPr>
              <w:pStyle w:val="41"/>
              <w:shd w:val="clear" w:color="auto" w:fill="FFFFFF"/>
              <w:spacing w:line="360" w:lineRule="auto"/>
              <w:rPr>
                <w:bCs/>
                <w:color w:val="auto"/>
                <w:spacing w:val="16"/>
                <w:highlight w:val="none"/>
              </w:rPr>
            </w:pPr>
          </w:p>
        </w:tc>
        <w:tc>
          <w:tcPr>
            <w:tcW w:w="910" w:type="dxa"/>
            <w:gridSpan w:val="2"/>
            <w:tcBorders>
              <w:top w:val="nil"/>
              <w:bottom w:val="single" w:color="auto" w:sz="4" w:space="0"/>
            </w:tcBorders>
          </w:tcPr>
          <w:p>
            <w:pPr>
              <w:pStyle w:val="41"/>
              <w:shd w:val="clear" w:color="auto" w:fill="FFFFFF"/>
              <w:spacing w:line="360" w:lineRule="auto"/>
              <w:rPr>
                <w:bCs/>
                <w:color w:val="auto"/>
                <w:spacing w:val="16"/>
                <w:highlight w:val="none"/>
              </w:rPr>
            </w:pPr>
            <w:r>
              <w:rPr>
                <w:rFonts w:hint="eastAsia"/>
                <w:bCs/>
                <w:color w:val="auto"/>
                <w:spacing w:val="16"/>
                <w:highlight w:val="none"/>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auto"/>
                <w:spacing w:val="16"/>
                <w:kern w:val="0"/>
                <w:sz w:val="24"/>
                <w:highlight w:val="none"/>
              </w:rPr>
            </w:pPr>
          </w:p>
          <w:p>
            <w:pPr>
              <w:pStyle w:val="41"/>
              <w:shd w:val="clear" w:color="auto" w:fill="FFFFFF"/>
              <w:spacing w:line="360" w:lineRule="auto"/>
              <w:rPr>
                <w:bCs/>
                <w:color w:val="auto"/>
                <w:spacing w:val="16"/>
                <w:highlight w:val="none"/>
              </w:rPr>
            </w:pPr>
          </w:p>
        </w:tc>
        <w:tc>
          <w:tcPr>
            <w:tcW w:w="2001" w:type="dxa"/>
            <w:gridSpan w:val="3"/>
            <w:vMerge w:val="restart"/>
          </w:tcPr>
          <w:p>
            <w:pPr>
              <w:pStyle w:val="41"/>
              <w:shd w:val="clear" w:color="auto" w:fill="FFFFFF"/>
              <w:spacing w:before="0" w:beforeAutospacing="0" w:after="0" w:afterAutospacing="0" w:line="360" w:lineRule="auto"/>
              <w:rPr>
                <w:bCs/>
                <w:color w:val="auto"/>
                <w:spacing w:val="16"/>
                <w:highlight w:val="none"/>
              </w:rPr>
            </w:pPr>
            <w:r>
              <w:rPr>
                <w:rFonts w:hint="eastAsia"/>
                <w:bCs/>
                <w:color w:val="auto"/>
                <w:spacing w:val="16"/>
                <w:highlight w:val="none"/>
              </w:rPr>
              <w:t>传真</w:t>
            </w:r>
          </w:p>
        </w:tc>
        <w:tc>
          <w:tcPr>
            <w:tcW w:w="2151" w:type="dxa"/>
            <w:gridSpan w:val="2"/>
            <w:vMerge w:val="restart"/>
          </w:tcPr>
          <w:p>
            <w:pPr>
              <w:pStyle w:val="4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pPr>
              <w:pStyle w:val="41"/>
              <w:shd w:val="clear" w:color="auto" w:fill="FFFFFF"/>
              <w:spacing w:line="360" w:lineRule="auto"/>
              <w:ind w:left="107"/>
              <w:rPr>
                <w:bCs/>
                <w:color w:val="auto"/>
                <w:highlight w:val="none"/>
              </w:rPr>
            </w:pPr>
          </w:p>
        </w:tc>
        <w:tc>
          <w:tcPr>
            <w:tcW w:w="701" w:type="dxa"/>
            <w:vMerge w:val="continue"/>
            <w:tcBorders>
              <w:bottom w:val="single" w:color="auto" w:sz="4" w:space="0"/>
            </w:tcBorders>
          </w:tcPr>
          <w:p>
            <w:pPr>
              <w:pStyle w:val="41"/>
              <w:shd w:val="clear" w:color="auto" w:fill="FFFFFF"/>
              <w:spacing w:line="360" w:lineRule="auto"/>
              <w:rPr>
                <w:bCs/>
                <w:color w:val="auto"/>
                <w:spacing w:val="16"/>
                <w:highlight w:val="none"/>
              </w:rPr>
            </w:pPr>
          </w:p>
        </w:tc>
        <w:tc>
          <w:tcPr>
            <w:tcW w:w="910" w:type="dxa"/>
            <w:gridSpan w:val="2"/>
            <w:tcBorders>
              <w:bottom w:val="single" w:color="auto" w:sz="4" w:space="0"/>
            </w:tcBorders>
          </w:tcPr>
          <w:p>
            <w:pPr>
              <w:pStyle w:val="41"/>
              <w:shd w:val="clear" w:color="auto" w:fill="FFFFFF"/>
              <w:spacing w:line="360" w:lineRule="auto"/>
              <w:rPr>
                <w:bCs/>
                <w:color w:val="auto"/>
                <w:spacing w:val="16"/>
                <w:highlight w:val="none"/>
              </w:rPr>
            </w:pPr>
            <w:r>
              <w:rPr>
                <w:rFonts w:hint="eastAsia"/>
                <w:bCs/>
                <w:color w:val="auto"/>
                <w:spacing w:val="27"/>
                <w:highlight w:val="none"/>
              </w:rPr>
              <w:t>手机</w:t>
            </w:r>
          </w:p>
        </w:tc>
        <w:tc>
          <w:tcPr>
            <w:tcW w:w="2368" w:type="dxa"/>
            <w:gridSpan w:val="3"/>
            <w:tcBorders>
              <w:bottom w:val="single" w:color="auto" w:sz="4" w:space="0"/>
            </w:tcBorders>
          </w:tcPr>
          <w:p>
            <w:pPr>
              <w:pStyle w:val="41"/>
              <w:shd w:val="clear" w:color="auto" w:fill="FFFFFF"/>
              <w:spacing w:line="360" w:lineRule="auto"/>
              <w:rPr>
                <w:bCs/>
                <w:color w:val="auto"/>
                <w:spacing w:val="16"/>
                <w:highlight w:val="none"/>
              </w:rPr>
            </w:pPr>
          </w:p>
        </w:tc>
        <w:tc>
          <w:tcPr>
            <w:tcW w:w="2001" w:type="dxa"/>
            <w:gridSpan w:val="3"/>
            <w:vMerge w:val="continue"/>
          </w:tcPr>
          <w:p>
            <w:pPr>
              <w:pStyle w:val="41"/>
              <w:shd w:val="clear" w:color="auto" w:fill="FFFFFF"/>
              <w:spacing w:line="360" w:lineRule="auto"/>
              <w:rPr>
                <w:bCs/>
                <w:color w:val="auto"/>
                <w:spacing w:val="16"/>
                <w:highlight w:val="none"/>
              </w:rPr>
            </w:pPr>
          </w:p>
        </w:tc>
        <w:tc>
          <w:tcPr>
            <w:tcW w:w="2151" w:type="dxa"/>
            <w:gridSpan w:val="2"/>
            <w:vMerge w:val="continue"/>
          </w:tcPr>
          <w:p>
            <w:pPr>
              <w:pStyle w:val="4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pPr>
              <w:pStyle w:val="41"/>
              <w:shd w:val="clear" w:color="auto" w:fill="FFFFFF"/>
              <w:spacing w:line="360" w:lineRule="auto"/>
              <w:ind w:left="107"/>
              <w:rPr>
                <w:bCs/>
                <w:color w:val="auto"/>
                <w:highlight w:val="none"/>
              </w:rPr>
            </w:pPr>
            <w:r>
              <w:rPr>
                <w:bCs/>
                <w:color w:val="auto"/>
                <w:highlight w:val="none"/>
              </w:rPr>
              <w:t>1</w:t>
            </w:r>
            <w:r>
              <w:rPr>
                <w:rFonts w:hint="eastAsia"/>
                <w:bCs/>
                <w:color w:val="auto"/>
                <w:highlight w:val="none"/>
              </w:rPr>
              <w:t>.</w:t>
            </w:r>
          </w:p>
          <w:p>
            <w:pPr>
              <w:pStyle w:val="41"/>
              <w:shd w:val="clear" w:color="auto" w:fill="FFFFFF"/>
              <w:spacing w:line="360" w:lineRule="auto"/>
              <w:ind w:left="107"/>
              <w:rPr>
                <w:bCs/>
                <w:color w:val="auto"/>
                <w:highlight w:val="none"/>
              </w:rPr>
            </w:pPr>
            <w:r>
              <w:rPr>
                <w:rFonts w:hint="eastAsia"/>
                <w:bCs/>
                <w:color w:val="auto"/>
                <w:highlight w:val="none"/>
              </w:rPr>
              <w:t>企</w:t>
            </w:r>
          </w:p>
          <w:p>
            <w:pPr>
              <w:pStyle w:val="41"/>
              <w:shd w:val="clear" w:color="auto" w:fill="FFFFFF"/>
              <w:spacing w:line="360" w:lineRule="auto"/>
              <w:ind w:left="107"/>
              <w:rPr>
                <w:bCs/>
                <w:color w:val="auto"/>
                <w:highlight w:val="none"/>
              </w:rPr>
            </w:pPr>
            <w:r>
              <w:rPr>
                <w:rFonts w:hint="eastAsia"/>
                <w:bCs/>
                <w:color w:val="auto"/>
                <w:highlight w:val="none"/>
              </w:rPr>
              <w:t>业</w:t>
            </w:r>
          </w:p>
          <w:p>
            <w:pPr>
              <w:pStyle w:val="41"/>
              <w:shd w:val="clear" w:color="auto" w:fill="FFFFFF"/>
              <w:spacing w:line="360" w:lineRule="auto"/>
              <w:ind w:left="107"/>
              <w:rPr>
                <w:bCs/>
                <w:color w:val="auto"/>
                <w:spacing w:val="27"/>
                <w:highlight w:val="none"/>
              </w:rPr>
            </w:pPr>
            <w:r>
              <w:rPr>
                <w:rFonts w:hint="eastAsia"/>
                <w:bCs/>
                <w:color w:val="auto"/>
                <w:spacing w:val="27"/>
                <w:highlight w:val="none"/>
              </w:rPr>
              <w:t>概</w:t>
            </w:r>
          </w:p>
          <w:p>
            <w:pPr>
              <w:pStyle w:val="41"/>
              <w:shd w:val="clear" w:color="auto" w:fill="FFFFFF"/>
              <w:spacing w:line="360" w:lineRule="auto"/>
              <w:ind w:left="107"/>
              <w:rPr>
                <w:bCs/>
                <w:color w:val="auto"/>
                <w:highlight w:val="none"/>
              </w:rPr>
            </w:pPr>
            <w:r>
              <w:rPr>
                <w:rFonts w:hint="eastAsia"/>
                <w:bCs/>
                <w:color w:val="auto"/>
                <w:spacing w:val="27"/>
                <w:highlight w:val="none"/>
              </w:rPr>
              <w:t>况</w:t>
            </w:r>
          </w:p>
        </w:tc>
        <w:tc>
          <w:tcPr>
            <w:tcW w:w="701" w:type="dxa"/>
            <w:tcBorders>
              <w:top w:val="nil"/>
            </w:tcBorders>
          </w:tcPr>
          <w:p>
            <w:pPr>
              <w:pStyle w:val="41"/>
              <w:shd w:val="clear" w:color="auto" w:fill="FFFFFF"/>
              <w:spacing w:line="360" w:lineRule="auto"/>
              <w:rPr>
                <w:bCs/>
                <w:color w:val="auto"/>
                <w:spacing w:val="16"/>
                <w:highlight w:val="none"/>
              </w:rPr>
            </w:pPr>
            <w:r>
              <w:rPr>
                <w:rFonts w:hint="eastAsia"/>
                <w:bCs/>
                <w:color w:val="auto"/>
                <w:spacing w:val="16"/>
                <w:highlight w:val="none"/>
              </w:rPr>
              <w:t>职工人数</w:t>
            </w:r>
          </w:p>
        </w:tc>
        <w:tc>
          <w:tcPr>
            <w:tcW w:w="910" w:type="dxa"/>
            <w:gridSpan w:val="2"/>
            <w:tcBorders>
              <w:top w:val="nil"/>
            </w:tcBorders>
          </w:tcPr>
          <w:p>
            <w:pPr>
              <w:pStyle w:val="41"/>
              <w:shd w:val="clear" w:color="auto" w:fill="FFFFFF"/>
              <w:spacing w:line="360" w:lineRule="auto"/>
              <w:rPr>
                <w:bCs/>
                <w:color w:val="auto"/>
                <w:spacing w:val="16"/>
                <w:highlight w:val="none"/>
              </w:rPr>
            </w:pPr>
          </w:p>
        </w:tc>
        <w:tc>
          <w:tcPr>
            <w:tcW w:w="1163" w:type="dxa"/>
            <w:tcBorders>
              <w:top w:val="nil"/>
            </w:tcBorders>
          </w:tcPr>
          <w:p>
            <w:pPr>
              <w:pStyle w:val="41"/>
              <w:shd w:val="clear" w:color="auto" w:fill="FFFFFF"/>
              <w:spacing w:before="0" w:beforeAutospacing="0" w:after="0" w:afterAutospacing="0" w:line="360" w:lineRule="auto"/>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205" w:type="dxa"/>
            <w:gridSpan w:val="2"/>
            <w:tcBorders>
              <w:top w:val="nil"/>
            </w:tcBorders>
          </w:tcPr>
          <w:p>
            <w:pPr>
              <w:widowControl/>
              <w:spacing w:line="360" w:lineRule="auto"/>
              <w:jc w:val="left"/>
              <w:rPr>
                <w:rFonts w:ascii="宋体" w:hAnsi="宋体" w:cs="宋体"/>
                <w:bCs/>
                <w:color w:val="auto"/>
                <w:spacing w:val="16"/>
                <w:kern w:val="0"/>
                <w:sz w:val="24"/>
                <w:highlight w:val="none"/>
              </w:rPr>
            </w:pPr>
          </w:p>
          <w:p>
            <w:pPr>
              <w:widowControl/>
              <w:spacing w:line="360" w:lineRule="auto"/>
              <w:jc w:val="left"/>
              <w:rPr>
                <w:rFonts w:ascii="宋体" w:hAnsi="宋体" w:cs="宋体"/>
                <w:bCs/>
                <w:color w:val="auto"/>
                <w:spacing w:val="16"/>
                <w:kern w:val="0"/>
                <w:sz w:val="24"/>
                <w:highlight w:val="none"/>
              </w:rPr>
            </w:pPr>
          </w:p>
          <w:p>
            <w:pPr>
              <w:pStyle w:val="41"/>
              <w:shd w:val="clear" w:color="auto" w:fill="FFFFFF"/>
              <w:spacing w:line="360" w:lineRule="auto"/>
              <w:rPr>
                <w:bCs/>
                <w:color w:val="auto"/>
                <w:spacing w:val="16"/>
                <w:highlight w:val="none"/>
              </w:rPr>
            </w:pPr>
          </w:p>
        </w:tc>
        <w:tc>
          <w:tcPr>
            <w:tcW w:w="2001" w:type="dxa"/>
            <w:gridSpan w:val="3"/>
          </w:tcPr>
          <w:p>
            <w:pPr>
              <w:pStyle w:val="41"/>
              <w:shd w:val="clear" w:color="auto" w:fill="FFFFFF"/>
              <w:spacing w:line="360" w:lineRule="auto"/>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151" w:type="dxa"/>
            <w:gridSpan w:val="2"/>
          </w:tcPr>
          <w:p>
            <w:pPr>
              <w:widowControl/>
              <w:spacing w:line="360" w:lineRule="auto"/>
              <w:jc w:val="left"/>
              <w:rPr>
                <w:rFonts w:ascii="宋体" w:hAnsi="宋体" w:cs="宋体"/>
                <w:bCs/>
                <w:color w:val="auto"/>
                <w:spacing w:val="16"/>
                <w:kern w:val="0"/>
                <w:sz w:val="24"/>
                <w:highlight w:val="none"/>
              </w:rPr>
            </w:pPr>
          </w:p>
          <w:p>
            <w:pPr>
              <w:pStyle w:val="4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682" w:type="dxa"/>
            <w:vMerge w:val="continue"/>
          </w:tcPr>
          <w:p>
            <w:pPr>
              <w:pStyle w:val="41"/>
              <w:shd w:val="clear" w:color="auto" w:fill="FFFFFF"/>
              <w:spacing w:line="360" w:lineRule="auto"/>
              <w:ind w:left="107"/>
              <w:rPr>
                <w:bCs/>
                <w:color w:val="auto"/>
                <w:highlight w:val="none"/>
              </w:rPr>
            </w:pPr>
          </w:p>
        </w:tc>
        <w:tc>
          <w:tcPr>
            <w:tcW w:w="701" w:type="dxa"/>
          </w:tcPr>
          <w:p>
            <w:pPr>
              <w:pStyle w:val="41"/>
              <w:shd w:val="clear" w:color="auto" w:fill="FFFFFF"/>
              <w:spacing w:line="360" w:lineRule="auto"/>
              <w:rPr>
                <w:bCs/>
                <w:color w:val="auto"/>
                <w:highlight w:val="none"/>
              </w:rPr>
            </w:pPr>
            <w:r>
              <w:rPr>
                <w:rFonts w:hint="eastAsia"/>
                <w:bCs/>
                <w:color w:val="auto"/>
                <w:spacing w:val="16"/>
                <w:highlight w:val="none"/>
              </w:rPr>
              <w:t>占地面积</w:t>
            </w:r>
          </w:p>
        </w:tc>
        <w:tc>
          <w:tcPr>
            <w:tcW w:w="910" w:type="dxa"/>
            <w:gridSpan w:val="2"/>
          </w:tcPr>
          <w:p>
            <w:pPr>
              <w:pStyle w:val="41"/>
              <w:shd w:val="clear" w:color="auto" w:fill="FFFFFF"/>
              <w:spacing w:line="360" w:lineRule="auto"/>
              <w:rPr>
                <w:bCs/>
                <w:color w:val="auto"/>
                <w:highlight w:val="none"/>
              </w:rPr>
            </w:pPr>
          </w:p>
        </w:tc>
        <w:tc>
          <w:tcPr>
            <w:tcW w:w="1163" w:type="dxa"/>
          </w:tcPr>
          <w:p>
            <w:pPr>
              <w:pStyle w:val="41"/>
              <w:shd w:val="clear" w:color="auto" w:fill="FFFFFF"/>
              <w:spacing w:line="360" w:lineRule="auto"/>
              <w:rPr>
                <w:bCs/>
                <w:color w:val="auto"/>
                <w:highlight w:val="none"/>
              </w:rPr>
            </w:pPr>
            <w:r>
              <w:rPr>
                <w:rFonts w:hint="eastAsia"/>
                <w:bCs/>
                <w:color w:val="auto"/>
                <w:spacing w:val="16"/>
                <w:highlight w:val="none"/>
              </w:rPr>
              <w:t>建筑面积</w:t>
            </w:r>
          </w:p>
        </w:tc>
        <w:tc>
          <w:tcPr>
            <w:tcW w:w="1205" w:type="dxa"/>
            <w:gridSpan w:val="2"/>
          </w:tcPr>
          <w:p>
            <w:pPr>
              <w:pStyle w:val="41"/>
              <w:shd w:val="clear" w:color="auto" w:fill="FFFFFF"/>
              <w:spacing w:line="360" w:lineRule="auto"/>
              <w:ind w:firstLine="240" w:firstLineChars="100"/>
              <w:rPr>
                <w:bCs/>
                <w:color w:val="auto"/>
                <w:highlight w:val="none"/>
              </w:rPr>
            </w:pPr>
            <w:r>
              <w:rPr>
                <w:rFonts w:hint="eastAsia"/>
                <w:bCs/>
                <w:color w:val="auto"/>
                <w:highlight w:val="none"/>
              </w:rPr>
              <w:t>平方米</w:t>
            </w:r>
          </w:p>
          <w:p>
            <w:pPr>
              <w:pStyle w:val="41"/>
              <w:shd w:val="clear" w:color="auto" w:fill="FFFFFF"/>
              <w:spacing w:line="360" w:lineRule="auto"/>
              <w:rPr>
                <w:bCs/>
                <w:color w:val="auto"/>
                <w:highlight w:val="none"/>
              </w:rPr>
            </w:pPr>
            <w:r>
              <w:rPr>
                <w:rFonts w:hint="eastAsia"/>
                <w:bCs/>
                <w:color w:val="auto"/>
                <w:spacing w:val="16"/>
                <w:highlight w:val="none"/>
              </w:rPr>
              <w:t>□自有□租賃</w:t>
            </w:r>
          </w:p>
        </w:tc>
        <w:tc>
          <w:tcPr>
            <w:tcW w:w="2001" w:type="dxa"/>
            <w:gridSpan w:val="3"/>
          </w:tcPr>
          <w:p>
            <w:pPr>
              <w:pStyle w:val="41"/>
              <w:shd w:val="clear" w:color="auto" w:fill="FFFFFF"/>
              <w:spacing w:line="360" w:lineRule="auto"/>
              <w:rPr>
                <w:bCs/>
                <w:color w:val="auto"/>
                <w:highlight w:val="none"/>
              </w:rPr>
            </w:pPr>
            <w:r>
              <w:rPr>
                <w:rFonts w:hint="eastAsia"/>
                <w:bCs/>
                <w:color w:val="auto"/>
                <w:spacing w:val="16"/>
                <w:highlight w:val="none"/>
              </w:rPr>
              <w:t>生产经营场所及场所的设施与设备</w:t>
            </w:r>
          </w:p>
        </w:tc>
        <w:tc>
          <w:tcPr>
            <w:tcW w:w="2151" w:type="dxa"/>
            <w:gridSpan w:val="2"/>
          </w:tcPr>
          <w:p>
            <w:pPr>
              <w:pStyle w:val="41"/>
              <w:shd w:val="clear" w:color="auto" w:fill="FFFFFF"/>
              <w:spacing w:before="0" w:beforeAutospacing="0" w:after="0" w:afterAutospacing="0"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pPr>
              <w:pStyle w:val="41"/>
              <w:shd w:val="clear" w:color="auto" w:fill="FFFFFF"/>
              <w:spacing w:line="360" w:lineRule="auto"/>
              <w:ind w:left="107"/>
              <w:rPr>
                <w:bCs/>
                <w:color w:val="auto"/>
                <w:highlight w:val="none"/>
              </w:rPr>
            </w:pPr>
          </w:p>
        </w:tc>
        <w:tc>
          <w:tcPr>
            <w:tcW w:w="701" w:type="dxa"/>
          </w:tcPr>
          <w:p>
            <w:pPr>
              <w:pStyle w:val="41"/>
              <w:shd w:val="clear" w:color="auto" w:fill="FFFFFF"/>
              <w:spacing w:line="360" w:lineRule="auto"/>
              <w:ind w:left="2"/>
              <w:rPr>
                <w:bCs/>
                <w:color w:val="auto"/>
                <w:spacing w:val="16"/>
                <w:highlight w:val="none"/>
              </w:rPr>
            </w:pPr>
            <w:r>
              <w:rPr>
                <w:rFonts w:hint="eastAsia"/>
                <w:bCs/>
                <w:color w:val="auto"/>
                <w:spacing w:val="16"/>
                <w:highlight w:val="none"/>
              </w:rPr>
              <w:t>注册资金</w:t>
            </w:r>
          </w:p>
        </w:tc>
        <w:tc>
          <w:tcPr>
            <w:tcW w:w="910" w:type="dxa"/>
            <w:gridSpan w:val="2"/>
          </w:tcPr>
          <w:p>
            <w:pPr>
              <w:pStyle w:val="41"/>
              <w:shd w:val="clear" w:color="auto" w:fill="FFFFFF"/>
              <w:spacing w:line="360" w:lineRule="auto"/>
              <w:ind w:left="2"/>
              <w:rPr>
                <w:bCs/>
                <w:color w:val="auto"/>
                <w:highlight w:val="none"/>
              </w:rPr>
            </w:pPr>
          </w:p>
        </w:tc>
        <w:tc>
          <w:tcPr>
            <w:tcW w:w="1163" w:type="dxa"/>
          </w:tcPr>
          <w:p>
            <w:pPr>
              <w:pStyle w:val="41"/>
              <w:shd w:val="clear" w:color="auto" w:fill="FFFFFF"/>
              <w:spacing w:line="360" w:lineRule="auto"/>
              <w:ind w:left="107"/>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3206" w:type="dxa"/>
            <w:gridSpan w:val="5"/>
          </w:tcPr>
          <w:p>
            <w:pPr>
              <w:widowControl/>
              <w:spacing w:line="360" w:lineRule="auto"/>
              <w:jc w:val="left"/>
              <w:rPr>
                <w:rFonts w:ascii="宋体" w:hAnsi="宋体" w:cs="宋体"/>
                <w:bCs/>
                <w:color w:val="auto"/>
                <w:kern w:val="0"/>
                <w:sz w:val="24"/>
                <w:highlight w:val="none"/>
              </w:rPr>
            </w:pPr>
          </w:p>
          <w:p>
            <w:pPr>
              <w:pStyle w:val="41"/>
              <w:shd w:val="clear" w:color="auto" w:fill="FFFFFF"/>
              <w:spacing w:line="360" w:lineRule="auto"/>
              <w:ind w:left="107"/>
              <w:rPr>
                <w:bCs/>
                <w:color w:val="auto"/>
                <w:highlight w:val="none"/>
              </w:rPr>
            </w:pPr>
          </w:p>
        </w:tc>
        <w:tc>
          <w:tcPr>
            <w:tcW w:w="1218" w:type="dxa"/>
          </w:tcPr>
          <w:p>
            <w:pPr>
              <w:pStyle w:val="41"/>
              <w:shd w:val="clear" w:color="auto" w:fill="FFFFFF"/>
              <w:spacing w:line="360" w:lineRule="auto"/>
              <w:ind w:left="107"/>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tcPr>
          <w:p>
            <w:pPr>
              <w:pStyle w:val="41"/>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pPr>
              <w:pStyle w:val="41"/>
              <w:shd w:val="clear" w:color="auto" w:fill="FFFFFF"/>
              <w:spacing w:line="360" w:lineRule="auto"/>
              <w:ind w:left="107"/>
              <w:rPr>
                <w:bCs/>
                <w:color w:val="auto"/>
                <w:highlight w:val="none"/>
              </w:rPr>
            </w:pPr>
          </w:p>
        </w:tc>
        <w:tc>
          <w:tcPr>
            <w:tcW w:w="701" w:type="dxa"/>
          </w:tcPr>
          <w:p>
            <w:pPr>
              <w:pStyle w:val="41"/>
              <w:shd w:val="clear" w:color="auto" w:fill="FFFFFF"/>
              <w:spacing w:line="360" w:lineRule="auto"/>
              <w:ind w:left="2"/>
              <w:rPr>
                <w:bCs/>
                <w:color w:val="auto"/>
                <w:highlight w:val="none"/>
              </w:rPr>
            </w:pPr>
            <w:r>
              <w:rPr>
                <w:rFonts w:hint="eastAsia"/>
                <w:bCs/>
                <w:color w:val="auto"/>
                <w:highlight w:val="none"/>
              </w:rPr>
              <w:t>核准经营范围</w:t>
            </w:r>
          </w:p>
        </w:tc>
        <w:tc>
          <w:tcPr>
            <w:tcW w:w="7430" w:type="dxa"/>
            <w:gridSpan w:val="10"/>
          </w:tcPr>
          <w:p>
            <w:pPr>
              <w:pStyle w:val="41"/>
              <w:shd w:val="clear" w:color="auto" w:fill="FFFFFF"/>
              <w:spacing w:line="360" w:lineRule="auto"/>
              <w:ind w:left="107"/>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pPr>
              <w:pStyle w:val="41"/>
              <w:shd w:val="clear" w:color="auto" w:fill="FFFFFF"/>
              <w:spacing w:line="360" w:lineRule="auto"/>
              <w:ind w:left="107"/>
              <w:rPr>
                <w:bCs/>
                <w:color w:val="auto"/>
                <w:highlight w:val="none"/>
              </w:rPr>
            </w:pPr>
          </w:p>
        </w:tc>
        <w:tc>
          <w:tcPr>
            <w:tcW w:w="8131" w:type="dxa"/>
            <w:gridSpan w:val="11"/>
          </w:tcPr>
          <w:p>
            <w:pPr>
              <w:pStyle w:val="41"/>
              <w:shd w:val="clear" w:color="auto" w:fill="FFFFFF"/>
              <w:spacing w:line="360" w:lineRule="auto"/>
              <w:rPr>
                <w:bCs/>
                <w:color w:val="auto"/>
                <w:spacing w:val="13"/>
                <w:highlight w:val="none"/>
              </w:rPr>
            </w:pPr>
            <w:r>
              <w:rPr>
                <w:rFonts w:hint="eastAsia"/>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pPr>
              <w:pStyle w:val="41"/>
              <w:shd w:val="clear" w:color="auto" w:fill="FFFFFF"/>
              <w:spacing w:line="360" w:lineRule="auto"/>
              <w:ind w:left="107"/>
              <w:rPr>
                <w:bCs/>
                <w:color w:val="auto"/>
                <w:highlight w:val="none"/>
              </w:rPr>
            </w:pPr>
            <w:r>
              <w:rPr>
                <w:bCs/>
                <w:color w:val="auto"/>
                <w:highlight w:val="none"/>
              </w:rPr>
              <w:t>2</w:t>
            </w:r>
            <w:r>
              <w:rPr>
                <w:rFonts w:hint="eastAsia"/>
                <w:bCs/>
                <w:color w:val="auto"/>
                <w:highlight w:val="none"/>
              </w:rPr>
              <w:t>．</w:t>
            </w:r>
          </w:p>
          <w:p>
            <w:pPr>
              <w:pStyle w:val="41"/>
              <w:shd w:val="clear" w:color="auto" w:fill="FFFFFF"/>
              <w:spacing w:line="360" w:lineRule="auto"/>
              <w:ind w:left="107"/>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553" w:type="dxa"/>
            <w:gridSpan w:val="2"/>
            <w:vMerge w:val="restart"/>
          </w:tcPr>
          <w:p>
            <w:pPr>
              <w:pStyle w:val="41"/>
              <w:shd w:val="clear" w:color="auto" w:fill="FFFFFF"/>
              <w:spacing w:before="0" w:beforeAutospacing="0" w:after="0" w:afterAutospacing="0" w:line="360" w:lineRule="auto"/>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tcPr>
          <w:p>
            <w:pPr>
              <w:pStyle w:val="41"/>
              <w:shd w:val="clear" w:color="auto" w:fill="FFFFFF"/>
              <w:spacing w:line="360" w:lineRule="auto"/>
              <w:ind w:right="-78" w:rightChars="-37"/>
              <w:rPr>
                <w:bCs/>
                <w:color w:val="auto"/>
                <w:spacing w:val="16"/>
                <w:highlight w:val="none"/>
              </w:rPr>
            </w:pPr>
            <w:r>
              <w:rPr>
                <w:rFonts w:hint="eastAsia"/>
                <w:bCs/>
                <w:color w:val="auto"/>
                <w:spacing w:val="16"/>
                <w:highlight w:val="none"/>
              </w:rPr>
              <w:t>产品名称</w:t>
            </w:r>
          </w:p>
        </w:tc>
        <w:tc>
          <w:tcPr>
            <w:tcW w:w="1418" w:type="dxa"/>
            <w:gridSpan w:val="2"/>
          </w:tcPr>
          <w:p>
            <w:pPr>
              <w:pStyle w:val="41"/>
              <w:shd w:val="clear" w:color="auto" w:fill="FFFFFF"/>
              <w:spacing w:before="0" w:beforeAutospacing="0" w:after="0" w:afterAutospacing="0" w:line="360" w:lineRule="auto"/>
              <w:rPr>
                <w:bCs/>
                <w:color w:val="auto"/>
                <w:highlight w:val="none"/>
              </w:rPr>
            </w:pPr>
            <w:r>
              <w:rPr>
                <w:rFonts w:hint="eastAsia"/>
                <w:bCs/>
                <w:color w:val="auto"/>
                <w:spacing w:val="16"/>
                <w:highlight w:val="none"/>
              </w:rPr>
              <w:t>发证机关</w:t>
            </w:r>
          </w:p>
        </w:tc>
        <w:tc>
          <w:tcPr>
            <w:tcW w:w="1276" w:type="dxa"/>
          </w:tcPr>
          <w:p>
            <w:pPr>
              <w:pStyle w:val="41"/>
              <w:shd w:val="clear" w:color="auto" w:fill="FFFFFF"/>
              <w:spacing w:line="360" w:lineRule="auto"/>
              <w:jc w:val="center"/>
              <w:rPr>
                <w:bCs/>
                <w:color w:val="auto"/>
                <w:highlight w:val="none"/>
              </w:rPr>
            </w:pPr>
            <w:r>
              <w:rPr>
                <w:rFonts w:hint="eastAsia"/>
                <w:bCs/>
                <w:color w:val="auto"/>
                <w:spacing w:val="27"/>
                <w:highlight w:val="none"/>
              </w:rPr>
              <w:t>编号</w:t>
            </w:r>
          </w:p>
        </w:tc>
        <w:tc>
          <w:tcPr>
            <w:tcW w:w="1618" w:type="dxa"/>
            <w:gridSpan w:val="2"/>
          </w:tcPr>
          <w:p>
            <w:pPr>
              <w:pStyle w:val="41"/>
              <w:shd w:val="clear" w:color="auto" w:fill="FFFFFF"/>
              <w:spacing w:line="360" w:lineRule="auto"/>
              <w:jc w:val="center"/>
              <w:rPr>
                <w:bCs/>
                <w:color w:val="auto"/>
                <w:highlight w:val="none"/>
              </w:rPr>
            </w:pPr>
            <w:r>
              <w:rPr>
                <w:rFonts w:hint="eastAsia"/>
                <w:bCs/>
                <w:color w:val="auto"/>
                <w:spacing w:val="16"/>
                <w:highlight w:val="none"/>
              </w:rPr>
              <w:t>发证时间</w:t>
            </w:r>
          </w:p>
        </w:tc>
        <w:tc>
          <w:tcPr>
            <w:tcW w:w="933" w:type="dxa"/>
          </w:tcPr>
          <w:p>
            <w:pPr>
              <w:pStyle w:val="41"/>
              <w:shd w:val="clear" w:color="auto" w:fill="FFFFFF"/>
              <w:spacing w:before="0" w:beforeAutospacing="0" w:after="0" w:afterAutospacing="0" w:line="360" w:lineRule="auto"/>
              <w:jc w:val="center"/>
              <w:rPr>
                <w:bCs/>
                <w:color w:val="auto"/>
                <w:highlight w:val="none"/>
              </w:rPr>
            </w:pPr>
            <w:r>
              <w:rPr>
                <w:rFonts w:hint="eastAsia"/>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pPr>
              <w:pStyle w:val="41"/>
              <w:shd w:val="clear" w:color="auto" w:fill="FFFFFF"/>
              <w:spacing w:line="360" w:lineRule="auto"/>
              <w:ind w:left="107"/>
              <w:rPr>
                <w:bCs/>
                <w:color w:val="auto"/>
                <w:highlight w:val="none"/>
              </w:rPr>
            </w:pPr>
          </w:p>
        </w:tc>
        <w:tc>
          <w:tcPr>
            <w:tcW w:w="1553" w:type="dxa"/>
            <w:gridSpan w:val="2"/>
            <w:vMerge w:val="continue"/>
          </w:tcPr>
          <w:p>
            <w:pPr>
              <w:pStyle w:val="41"/>
              <w:shd w:val="clear" w:color="auto" w:fill="FFFFFF"/>
              <w:spacing w:line="360" w:lineRule="auto"/>
              <w:rPr>
                <w:bCs/>
                <w:color w:val="auto"/>
                <w:highlight w:val="none"/>
              </w:rPr>
            </w:pPr>
          </w:p>
        </w:tc>
        <w:tc>
          <w:tcPr>
            <w:tcW w:w="1333" w:type="dxa"/>
            <w:gridSpan w:val="3"/>
          </w:tcPr>
          <w:p>
            <w:pPr>
              <w:pStyle w:val="41"/>
              <w:shd w:val="clear" w:color="auto" w:fill="FFFFFF"/>
              <w:spacing w:line="360" w:lineRule="auto"/>
              <w:rPr>
                <w:bCs/>
                <w:color w:val="auto"/>
                <w:highlight w:val="none"/>
              </w:rPr>
            </w:pPr>
          </w:p>
        </w:tc>
        <w:tc>
          <w:tcPr>
            <w:tcW w:w="1418" w:type="dxa"/>
            <w:gridSpan w:val="2"/>
          </w:tcPr>
          <w:p>
            <w:pPr>
              <w:pStyle w:val="41"/>
              <w:shd w:val="clear" w:color="auto" w:fill="FFFFFF"/>
              <w:spacing w:line="360" w:lineRule="auto"/>
              <w:rPr>
                <w:bCs/>
                <w:color w:val="auto"/>
                <w:highlight w:val="none"/>
              </w:rPr>
            </w:pPr>
          </w:p>
        </w:tc>
        <w:tc>
          <w:tcPr>
            <w:tcW w:w="1276" w:type="dxa"/>
          </w:tcPr>
          <w:p>
            <w:pPr>
              <w:pStyle w:val="41"/>
              <w:shd w:val="clear" w:color="auto" w:fill="FFFFFF"/>
              <w:spacing w:line="360" w:lineRule="auto"/>
              <w:rPr>
                <w:bCs/>
                <w:color w:val="auto"/>
                <w:highlight w:val="none"/>
              </w:rPr>
            </w:pPr>
          </w:p>
        </w:tc>
        <w:tc>
          <w:tcPr>
            <w:tcW w:w="2551" w:type="dxa"/>
            <w:gridSpan w:val="3"/>
          </w:tcPr>
          <w:p>
            <w:pPr>
              <w:pStyle w:val="41"/>
              <w:shd w:val="clear" w:color="auto" w:fill="FFFFFF"/>
              <w:spacing w:line="360" w:lineRule="auto"/>
              <w:rPr>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pPr>
              <w:pStyle w:val="41"/>
              <w:shd w:val="clear" w:color="auto" w:fill="FFFFFF"/>
              <w:spacing w:line="360" w:lineRule="auto"/>
              <w:ind w:left="107"/>
              <w:rPr>
                <w:bCs/>
                <w:color w:val="auto"/>
                <w:spacing w:val="16"/>
                <w:highlight w:val="none"/>
              </w:rPr>
            </w:pPr>
          </w:p>
        </w:tc>
        <w:tc>
          <w:tcPr>
            <w:tcW w:w="1553" w:type="dxa"/>
            <w:gridSpan w:val="2"/>
          </w:tcPr>
          <w:p>
            <w:pPr>
              <w:pStyle w:val="41"/>
              <w:shd w:val="clear" w:color="auto" w:fill="FFFFFF"/>
              <w:spacing w:before="0" w:beforeAutospacing="0" w:after="0" w:afterAutospacing="0" w:line="360" w:lineRule="auto"/>
              <w:ind w:right="-107" w:rightChars="-51"/>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9"/>
          </w:tcPr>
          <w:p>
            <w:pPr>
              <w:pStyle w:val="41"/>
              <w:shd w:val="clear" w:color="auto" w:fill="FFFFFF"/>
              <w:spacing w:line="360" w:lineRule="auto"/>
              <w:rPr>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pPr>
              <w:pStyle w:val="41"/>
              <w:shd w:val="clear" w:color="auto" w:fill="FFFFFF"/>
              <w:spacing w:line="360" w:lineRule="auto"/>
              <w:ind w:left="107"/>
              <w:rPr>
                <w:bCs/>
                <w:color w:val="auto"/>
                <w:spacing w:val="27"/>
                <w:highlight w:val="none"/>
              </w:rPr>
            </w:pPr>
          </w:p>
        </w:tc>
        <w:tc>
          <w:tcPr>
            <w:tcW w:w="1553" w:type="dxa"/>
            <w:gridSpan w:val="2"/>
          </w:tcPr>
          <w:p>
            <w:pPr>
              <w:pStyle w:val="41"/>
              <w:shd w:val="clear" w:color="auto" w:fill="FFFFFF"/>
              <w:spacing w:line="360" w:lineRule="auto"/>
              <w:rPr>
                <w:bCs/>
                <w:color w:val="auto"/>
                <w:spacing w:val="16"/>
                <w:highlight w:val="none"/>
              </w:rPr>
            </w:pPr>
            <w:r>
              <w:rPr>
                <w:rFonts w:hint="eastAsia"/>
                <w:bCs/>
                <w:color w:val="auto"/>
                <w:spacing w:val="10"/>
                <w:highlight w:val="none"/>
              </w:rPr>
              <w:t>企业获得专利情况</w:t>
            </w:r>
          </w:p>
        </w:tc>
        <w:tc>
          <w:tcPr>
            <w:tcW w:w="6578" w:type="dxa"/>
            <w:gridSpan w:val="9"/>
          </w:tcPr>
          <w:p>
            <w:pPr>
              <w:pStyle w:val="41"/>
              <w:shd w:val="clear" w:color="auto" w:fill="FFFFFF"/>
              <w:spacing w:line="360" w:lineRule="auto"/>
              <w:rPr>
                <w:bCs/>
                <w:color w:val="auto"/>
                <w:spacing w:val="16"/>
                <w:highlight w:val="none"/>
              </w:rPr>
            </w:pPr>
          </w:p>
        </w:tc>
      </w:tr>
    </w:tbl>
    <w:p>
      <w:pPr>
        <w:pStyle w:val="4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pPr>
        <w:pStyle w:val="41"/>
        <w:shd w:val="clear" w:color="auto" w:fill="FFFFFF"/>
        <w:spacing w:before="0" w:beforeAutospacing="0" w:after="0" w:afterAutospacing="0" w:line="360" w:lineRule="auto"/>
        <w:ind w:firstLine="424" w:firstLineChars="202"/>
        <w:rPr>
          <w:color w:val="auto"/>
          <w:sz w:val="21"/>
          <w:szCs w:val="21"/>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pPr>
        <w:spacing w:line="360" w:lineRule="auto"/>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4"/>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color w:val="auto"/>
          <w:sz w:val="24"/>
          <w:highlight w:val="none"/>
        </w:rPr>
      </w:pPr>
      <w:r>
        <w:rPr>
          <w:rFonts w:hint="eastAsia" w:ascii="宋体" w:hAnsi="宋体"/>
          <w:b/>
          <w:color w:val="auto"/>
          <w:sz w:val="28"/>
          <w:highlight w:val="none"/>
        </w:rPr>
        <w:t>附件6</w:t>
      </w:r>
    </w:p>
    <w:p>
      <w:pPr>
        <w:snapToGrid w:val="0"/>
        <w:spacing w:before="156" w:beforeLines="50" w:after="50" w:line="360" w:lineRule="auto"/>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pPr>
        <w:snapToGrid w:val="0"/>
        <w:spacing w:before="156" w:beforeLines="50" w:after="50" w:line="360" w:lineRule="auto"/>
        <w:jc w:val="center"/>
        <w:rPr>
          <w:rFonts w:ascii="宋体" w:hAnsi="宋体"/>
          <w:b/>
          <w:color w:val="auto"/>
          <w:sz w:val="36"/>
          <w:szCs w:val="36"/>
          <w:highlight w:val="none"/>
        </w:rPr>
      </w:pPr>
    </w:p>
    <w:p>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558"/>
        <w:gridCol w:w="1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98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color w:val="auto"/>
                <w:sz w:val="24"/>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55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c>
          <w:tcPr>
            <w:tcW w:w="198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auto"/>
                <w:kern w:val="44"/>
                <w:sz w:val="24"/>
                <w:szCs w:val="20"/>
                <w:highlight w:val="none"/>
              </w:rPr>
            </w:pP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7"/>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pPr>
        <w:pStyle w:val="42"/>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w:t>
      </w:r>
    </w:p>
    <w:p>
      <w:pPr>
        <w:pStyle w:val="42"/>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3.出具上述人员在本单位服务的外部证明，如：</w:t>
      </w:r>
      <w:r>
        <w:rPr>
          <w:rFonts w:ascii="宋体" w:hAnsi="宋体"/>
          <w:color w:val="auto"/>
          <w:szCs w:val="21"/>
          <w:highlight w:val="none"/>
        </w:rPr>
        <w:t>投标截止日之前</w:t>
      </w:r>
      <w:r>
        <w:rPr>
          <w:rFonts w:hint="eastAsia" w:ascii="宋体" w:hAnsi="宋体"/>
          <w:color w:val="auto"/>
          <w:szCs w:val="21"/>
          <w:highlight w:val="none"/>
        </w:rPr>
        <w:t>3</w:t>
      </w:r>
      <w:r>
        <w:rPr>
          <w:rFonts w:ascii="宋体" w:hAnsi="宋体"/>
          <w:color w:val="auto"/>
          <w:szCs w:val="21"/>
          <w:highlight w:val="none"/>
        </w:rPr>
        <w:t>个月以内的</w:t>
      </w:r>
      <w:r>
        <w:rPr>
          <w:rFonts w:hint="eastAsia" w:ascii="宋体" w:hAnsi="宋体"/>
          <w:color w:val="auto"/>
          <w:szCs w:val="21"/>
          <w:highlight w:val="none"/>
        </w:rPr>
        <w:t>代缴个税税单、参加社会保险的《投保单》或《社会保险参保人员证明》等。</w:t>
      </w: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pacing w:line="360" w:lineRule="auto"/>
        <w:ind w:firstLine="435"/>
        <w:rPr>
          <w:rFonts w:ascii="宋体" w:hAnsi="宋体"/>
          <w:b/>
          <w:color w:val="auto"/>
          <w:sz w:val="28"/>
          <w:highlight w:val="none"/>
        </w:rPr>
      </w:pPr>
    </w:p>
    <w:p>
      <w:pPr>
        <w:spacing w:line="360" w:lineRule="auto"/>
        <w:rPr>
          <w:rFonts w:ascii="宋体" w:hAnsi="宋体"/>
          <w:color w:val="auto"/>
          <w:highlight w:val="none"/>
        </w:rPr>
      </w:pPr>
      <w:r>
        <w:rPr>
          <w:rFonts w:hint="eastAsia" w:ascii="宋体" w:hAnsi="宋体"/>
          <w:b/>
          <w:color w:val="auto"/>
          <w:sz w:val="28"/>
          <w:highlight w:val="none"/>
        </w:rPr>
        <w:t>附件7</w:t>
      </w:r>
    </w:p>
    <w:p>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3573"/>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357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left"/>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35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c>
          <w:tcPr>
            <w:tcW w:w="3079"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auto"/>
                <w:highlight w:val="none"/>
                <w:lang w:val="zh-CN"/>
              </w:rPr>
            </w:pPr>
          </w:p>
        </w:tc>
      </w:tr>
    </w:tbl>
    <w:p>
      <w:pPr>
        <w:spacing w:line="360" w:lineRule="auto"/>
        <w:ind w:left="420"/>
        <w:rPr>
          <w:rFonts w:ascii="宋体" w:hAnsi="宋体"/>
          <w:color w:val="auto"/>
          <w:sz w:val="24"/>
          <w:highlight w:val="none"/>
        </w:rPr>
      </w:pP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附件8</w:t>
      </w:r>
    </w:p>
    <w:p>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rPr>
        <w:t>供货</w:t>
      </w:r>
      <w:r>
        <w:rPr>
          <w:rFonts w:ascii="宋体" w:hAnsi="宋体"/>
          <w:b/>
          <w:color w:val="auto"/>
          <w:sz w:val="32"/>
          <w:szCs w:val="32"/>
          <w:highlight w:val="none"/>
        </w:rPr>
        <w:t>清单</w:t>
      </w:r>
    </w:p>
    <w:p>
      <w:pPr>
        <w:spacing w:line="360" w:lineRule="auto"/>
        <w:ind w:left="480"/>
        <w:rPr>
          <w:rFonts w:ascii="宋体" w:hAnsi="宋体"/>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p>
    <w:p>
      <w:pPr>
        <w:spacing w:line="360" w:lineRule="auto"/>
        <w:ind w:left="420"/>
        <w:rPr>
          <w:rFonts w:ascii="宋体" w:hAnsi="宋体"/>
          <w:color w:val="auto"/>
          <w:sz w:val="24"/>
          <w:highlight w:val="none"/>
        </w:rPr>
      </w:pPr>
    </w:p>
    <w:tbl>
      <w:tblPr>
        <w:tblStyle w:val="22"/>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904"/>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90"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904" w:type="dxa"/>
            <w:vAlign w:val="center"/>
          </w:tcPr>
          <w:p>
            <w:pPr>
              <w:tabs>
                <w:tab w:val="left" w:pos="8280"/>
              </w:tabs>
              <w:autoSpaceDE w:val="0"/>
              <w:autoSpaceDN w:val="0"/>
              <w:adjustRightInd w:val="0"/>
              <w:spacing w:line="360" w:lineRule="auto"/>
              <w:ind w:right="25" w:firstLine="361" w:firstLineChars="150"/>
              <w:rPr>
                <w:rFonts w:ascii="宋体" w:hAnsi="宋体"/>
                <w:b/>
                <w:color w:val="auto"/>
                <w:sz w:val="24"/>
                <w:highlight w:val="none"/>
              </w:rPr>
            </w:pPr>
            <w:r>
              <w:rPr>
                <w:rFonts w:hint="eastAsia" w:ascii="宋体" w:hAnsi="宋体"/>
                <w:b/>
                <w:color w:val="auto"/>
                <w:sz w:val="24"/>
                <w:highlight w:val="none"/>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单位</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auto"/>
                <w:sz w:val="24"/>
                <w:highlight w:val="none"/>
              </w:rPr>
            </w:pPr>
            <w:r>
              <w:rPr>
                <w:rFonts w:hint="eastAsia" w:ascii="宋体" w:hAnsi="宋体"/>
                <w:b/>
                <w:color w:val="auto"/>
                <w:sz w:val="24"/>
                <w:highlight w:val="none"/>
              </w:rPr>
              <w:t>数量</w:t>
            </w:r>
          </w:p>
        </w:tc>
        <w:tc>
          <w:tcPr>
            <w:tcW w:w="993"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时间</w:t>
            </w:r>
          </w:p>
        </w:tc>
        <w:tc>
          <w:tcPr>
            <w:tcW w:w="1559"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90" w:type="dxa"/>
            <w:vAlign w:val="center"/>
          </w:tcPr>
          <w:p>
            <w:pPr>
              <w:spacing w:line="360" w:lineRule="auto"/>
              <w:rPr>
                <w:rFonts w:ascii="宋体" w:hAnsi="宋体"/>
                <w:color w:val="auto"/>
                <w:sz w:val="24"/>
                <w:highlight w:val="none"/>
              </w:rPr>
            </w:pPr>
          </w:p>
        </w:tc>
        <w:tc>
          <w:tcPr>
            <w:tcW w:w="1904" w:type="dxa"/>
            <w:vAlign w:val="center"/>
          </w:tcPr>
          <w:p>
            <w:pPr>
              <w:spacing w:line="360" w:lineRule="auto"/>
              <w:rPr>
                <w:rFonts w:ascii="宋体" w:hAnsi="宋体"/>
                <w:color w:val="auto"/>
                <w:sz w:val="24"/>
                <w:highlight w:val="none"/>
              </w:rPr>
            </w:pPr>
          </w:p>
        </w:tc>
        <w:tc>
          <w:tcPr>
            <w:tcW w:w="1134" w:type="dxa"/>
            <w:vAlign w:val="center"/>
          </w:tcPr>
          <w:p>
            <w:pPr>
              <w:spacing w:line="360" w:lineRule="auto"/>
              <w:rPr>
                <w:rFonts w:ascii="宋体" w:hAnsi="宋体"/>
                <w:color w:val="auto"/>
                <w:sz w:val="24"/>
                <w:highlight w:val="none"/>
              </w:rPr>
            </w:pPr>
          </w:p>
        </w:tc>
        <w:tc>
          <w:tcPr>
            <w:tcW w:w="1842" w:type="dxa"/>
            <w:vAlign w:val="center"/>
          </w:tcPr>
          <w:p>
            <w:pPr>
              <w:spacing w:line="360" w:lineRule="auto"/>
              <w:rPr>
                <w:rFonts w:ascii="宋体" w:hAnsi="宋体"/>
                <w:color w:val="auto"/>
                <w:sz w:val="24"/>
                <w:highlight w:val="none"/>
              </w:rPr>
            </w:pPr>
          </w:p>
        </w:tc>
        <w:tc>
          <w:tcPr>
            <w:tcW w:w="993" w:type="dxa"/>
            <w:vAlign w:val="center"/>
          </w:tcPr>
          <w:p>
            <w:pPr>
              <w:spacing w:line="360" w:lineRule="auto"/>
              <w:rPr>
                <w:rFonts w:ascii="宋体" w:hAnsi="宋体"/>
                <w:color w:val="auto"/>
                <w:sz w:val="24"/>
                <w:highlight w:val="none"/>
              </w:rPr>
            </w:pPr>
          </w:p>
        </w:tc>
        <w:tc>
          <w:tcPr>
            <w:tcW w:w="1559" w:type="dxa"/>
            <w:vAlign w:val="center"/>
          </w:tcPr>
          <w:p>
            <w:pPr>
              <w:spacing w:line="360" w:lineRule="auto"/>
              <w:rPr>
                <w:rFonts w:ascii="宋体" w:hAnsi="宋体"/>
                <w:color w:val="auto"/>
                <w:sz w:val="24"/>
                <w:highlight w:val="none"/>
              </w:rPr>
            </w:pPr>
          </w:p>
        </w:tc>
      </w:tr>
    </w:tbl>
    <w:p>
      <w:pPr>
        <w:spacing w:line="360" w:lineRule="auto"/>
        <w:ind w:left="420"/>
        <w:rPr>
          <w:rFonts w:ascii="宋体" w:hAnsi="宋体"/>
          <w:color w:val="auto"/>
          <w:sz w:val="24"/>
          <w:highlight w:val="none"/>
        </w:rPr>
      </w:pPr>
    </w:p>
    <w:p>
      <w:pPr>
        <w:spacing w:line="360" w:lineRule="auto"/>
        <w:ind w:left="435"/>
        <w:rPr>
          <w:rFonts w:ascii="宋体" w:hAnsi="宋体"/>
          <w:b/>
          <w:color w:val="auto"/>
          <w:szCs w:val="21"/>
          <w:highlight w:val="none"/>
        </w:rPr>
      </w:pPr>
      <w:r>
        <w:rPr>
          <w:rFonts w:hint="eastAsia" w:ascii="宋体" w:hAnsi="宋体"/>
          <w:b/>
          <w:color w:val="auto"/>
          <w:szCs w:val="21"/>
          <w:highlight w:val="none"/>
        </w:rPr>
        <w:t>要求：</w:t>
      </w:r>
    </w:p>
    <w:p>
      <w:pPr>
        <w:spacing w:line="360" w:lineRule="auto"/>
        <w:ind w:left="435" w:firstLine="559" w:firstLineChars="265"/>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本表中的名称、数量应与报价明细表中相对应的报价名称、数量一致</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firstLine="571" w:firstLineChars="238"/>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993"/>
        <w:rPr>
          <w:rFonts w:ascii="宋体" w:hAnsi="宋体"/>
          <w:color w:val="auto"/>
          <w:sz w:val="24"/>
          <w:highlight w:val="none"/>
        </w:rPr>
      </w:pPr>
      <w:r>
        <w:rPr>
          <w:rFonts w:hint="eastAsia" w:ascii="宋体" w:hAnsi="宋体"/>
          <w:color w:val="auto"/>
          <w:sz w:val="24"/>
          <w:highlight w:val="none"/>
        </w:rPr>
        <w:t>日        期：</w:t>
      </w:r>
    </w:p>
    <w:p>
      <w:pPr>
        <w:snapToGrid w:val="0"/>
        <w:spacing w:before="50" w:after="50" w:line="360" w:lineRule="auto"/>
        <w:rPr>
          <w:rFonts w:ascii="宋体" w:hAnsi="宋体"/>
          <w:b/>
          <w:color w:val="auto"/>
          <w:sz w:val="28"/>
          <w:highlight w:val="none"/>
        </w:rPr>
      </w:pPr>
    </w:p>
    <w:p>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pPr>
        <w:spacing w:line="360" w:lineRule="auto"/>
        <w:ind w:left="480"/>
        <w:jc w:val="center"/>
        <w:rPr>
          <w:rFonts w:ascii="宋体" w:hAnsi="宋体"/>
          <w:b/>
          <w:bCs/>
          <w:color w:val="auto"/>
          <w:sz w:val="32"/>
          <w:szCs w:val="32"/>
          <w:highlight w:val="none"/>
        </w:rPr>
      </w:pPr>
      <w:r>
        <w:rPr>
          <w:rFonts w:ascii="宋体" w:hAnsi="宋体"/>
          <w:b/>
          <w:bCs/>
          <w:color w:val="auto"/>
          <w:kern w:val="0"/>
          <w:sz w:val="32"/>
          <w:szCs w:val="32"/>
          <w:highlight w:val="none"/>
        </w:rPr>
        <w:t>技术</w:t>
      </w:r>
      <w:r>
        <w:rPr>
          <w:rFonts w:hint="eastAsia" w:ascii="宋体" w:hAnsi="宋体"/>
          <w:b/>
          <w:bCs/>
          <w:color w:val="auto"/>
          <w:kern w:val="0"/>
          <w:sz w:val="32"/>
          <w:szCs w:val="32"/>
          <w:highlight w:val="none"/>
        </w:rPr>
        <w:t>需求</w:t>
      </w:r>
      <w:r>
        <w:rPr>
          <w:rFonts w:ascii="宋体" w:hAnsi="宋体"/>
          <w:b/>
          <w:bCs/>
          <w:color w:val="auto"/>
          <w:kern w:val="0"/>
          <w:sz w:val="32"/>
          <w:szCs w:val="32"/>
          <w:highlight w:val="none"/>
        </w:rPr>
        <w:t>响应表</w:t>
      </w:r>
    </w:p>
    <w:p>
      <w:pPr>
        <w:spacing w:line="360" w:lineRule="auto"/>
        <w:rPr>
          <w:rFonts w:ascii="宋体" w:hAnsi="宋体"/>
          <w:color w:val="auto"/>
          <w:sz w:val="24"/>
          <w:highlight w:val="none"/>
        </w:rPr>
      </w:pPr>
    </w:p>
    <w:tbl>
      <w:tblPr>
        <w:tblStyle w:val="22"/>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190"/>
        <w:gridCol w:w="1914"/>
        <w:gridCol w:w="17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902"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2190" w:type="dxa"/>
            <w:vAlign w:val="center"/>
          </w:tcPr>
          <w:p>
            <w:pPr>
              <w:spacing w:line="360" w:lineRule="auto"/>
              <w:ind w:left="13" w:leftChars="6" w:firstLine="482" w:firstLineChars="200"/>
              <w:rPr>
                <w:rFonts w:ascii="宋体" w:hAnsi="宋体"/>
                <w:b/>
                <w:color w:val="auto"/>
                <w:sz w:val="24"/>
                <w:highlight w:val="none"/>
              </w:rPr>
            </w:pPr>
            <w:r>
              <w:rPr>
                <w:rFonts w:hint="eastAsia" w:ascii="宋体" w:hAnsi="宋体"/>
                <w:b/>
                <w:color w:val="auto"/>
                <w:sz w:val="24"/>
                <w:highlight w:val="none"/>
              </w:rPr>
              <w:t>名称</w:t>
            </w:r>
          </w:p>
        </w:tc>
        <w:tc>
          <w:tcPr>
            <w:tcW w:w="1914" w:type="dxa"/>
            <w:vAlign w:val="center"/>
          </w:tcPr>
          <w:p>
            <w:pPr>
              <w:spacing w:line="360" w:lineRule="auto"/>
              <w:ind w:left="152"/>
              <w:rPr>
                <w:rFonts w:ascii="宋体" w:hAnsi="宋体"/>
                <w:b/>
                <w:color w:val="auto"/>
                <w:sz w:val="24"/>
                <w:highlight w:val="none"/>
              </w:rPr>
            </w:pPr>
            <w:r>
              <w:rPr>
                <w:rFonts w:hint="eastAsia" w:ascii="宋体" w:hAnsi="宋体"/>
                <w:b/>
                <w:color w:val="auto"/>
                <w:sz w:val="24"/>
                <w:highlight w:val="none"/>
              </w:rPr>
              <w:t>招标参数</w:t>
            </w:r>
          </w:p>
        </w:tc>
        <w:tc>
          <w:tcPr>
            <w:tcW w:w="1719"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投标参数</w:t>
            </w:r>
          </w:p>
        </w:tc>
        <w:tc>
          <w:tcPr>
            <w:tcW w:w="16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902" w:type="dxa"/>
            <w:vAlign w:val="center"/>
          </w:tcPr>
          <w:p>
            <w:pPr>
              <w:spacing w:line="360" w:lineRule="auto"/>
              <w:rPr>
                <w:rFonts w:ascii="宋体" w:hAnsi="宋体"/>
                <w:color w:val="auto"/>
                <w:sz w:val="24"/>
                <w:highlight w:val="none"/>
              </w:rPr>
            </w:pPr>
          </w:p>
        </w:tc>
        <w:tc>
          <w:tcPr>
            <w:tcW w:w="2190" w:type="dxa"/>
            <w:vAlign w:val="center"/>
          </w:tcPr>
          <w:p>
            <w:pPr>
              <w:spacing w:line="360" w:lineRule="auto"/>
              <w:rPr>
                <w:rFonts w:ascii="宋体" w:hAnsi="宋体"/>
                <w:color w:val="auto"/>
                <w:sz w:val="24"/>
                <w:highlight w:val="none"/>
              </w:rPr>
            </w:pPr>
          </w:p>
        </w:tc>
        <w:tc>
          <w:tcPr>
            <w:tcW w:w="1914" w:type="dxa"/>
            <w:vAlign w:val="center"/>
          </w:tcPr>
          <w:p>
            <w:pPr>
              <w:spacing w:line="360" w:lineRule="auto"/>
              <w:rPr>
                <w:rFonts w:ascii="宋体" w:hAnsi="宋体"/>
                <w:color w:val="auto"/>
                <w:sz w:val="24"/>
                <w:highlight w:val="none"/>
              </w:rPr>
            </w:pPr>
          </w:p>
        </w:tc>
        <w:tc>
          <w:tcPr>
            <w:tcW w:w="1719" w:type="dxa"/>
            <w:vAlign w:val="center"/>
          </w:tcPr>
          <w:p>
            <w:pPr>
              <w:spacing w:line="360" w:lineRule="auto"/>
              <w:rPr>
                <w:rFonts w:ascii="宋体" w:hAnsi="宋体"/>
                <w:color w:val="auto"/>
                <w:sz w:val="24"/>
                <w:highlight w:val="none"/>
              </w:rPr>
            </w:pPr>
          </w:p>
        </w:tc>
        <w:tc>
          <w:tcPr>
            <w:tcW w:w="1675" w:type="dxa"/>
            <w:vAlign w:val="center"/>
          </w:tcPr>
          <w:p>
            <w:pPr>
              <w:spacing w:line="360" w:lineRule="auto"/>
              <w:rPr>
                <w:rFonts w:ascii="宋体" w:hAnsi="宋体"/>
                <w:color w:val="auto"/>
                <w:sz w:val="24"/>
                <w:highlight w:val="none"/>
              </w:rPr>
            </w:pPr>
          </w:p>
        </w:tc>
      </w:tr>
    </w:tbl>
    <w:p>
      <w:pPr>
        <w:pStyle w:val="43"/>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pPr>
        <w:pStyle w:val="43"/>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pPr>
        <w:pStyle w:val="43"/>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2.本表参照本招标文件第二部分“招标需求”内第二条“具体技术需求”填制，投标人应根据投标设备的性能指标、服务指标，对照招标文件要求在“偏离情况”栏注明“正偏离”、“负偏离”或“无偏离”。</w:t>
      </w:r>
    </w:p>
    <w:p>
      <w:pPr>
        <w:pStyle w:val="43"/>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pStyle w:val="44"/>
        <w:spacing w:line="360" w:lineRule="auto"/>
        <w:jc w:val="left"/>
        <w:rPr>
          <w:rFonts w:ascii="宋体" w:hAnsi="宋体"/>
          <w:b/>
          <w:color w:val="auto"/>
          <w:sz w:val="28"/>
          <w:highlight w:val="none"/>
        </w:rPr>
      </w:pPr>
      <w:r>
        <w:rPr>
          <w:rFonts w:hint="eastAsia" w:ascii="宋体" w:hAnsi="宋体"/>
          <w:b/>
          <w:color w:val="auto"/>
          <w:sz w:val="28"/>
          <w:highlight w:val="none"/>
        </w:rPr>
        <w:t>附件10</w:t>
      </w:r>
    </w:p>
    <w:p>
      <w:pPr>
        <w:pStyle w:val="45"/>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pPr>
        <w:pStyle w:val="45"/>
        <w:spacing w:line="360" w:lineRule="auto"/>
        <w:jc w:val="center"/>
        <w:rPr>
          <w:rFonts w:ascii="宋体" w:hAnsi="宋体" w:cs="Arial"/>
          <w:color w:val="auto"/>
          <w:sz w:val="28"/>
          <w:szCs w:val="28"/>
          <w:highlight w:val="none"/>
        </w:rPr>
      </w:pPr>
    </w:p>
    <w:tbl>
      <w:tblPr>
        <w:tblStyle w:val="22"/>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4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pPr>
              <w:pStyle w:val="4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pPr>
              <w:pStyle w:val="4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pPr>
              <w:pStyle w:val="45"/>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45"/>
              <w:spacing w:line="360" w:lineRule="auto"/>
              <w:jc w:val="center"/>
              <w:rPr>
                <w:rFonts w:ascii="宋体" w:hAnsi="宋体" w:cs="Arial"/>
                <w:color w:val="auto"/>
                <w:szCs w:val="21"/>
                <w:highlight w:val="none"/>
              </w:rPr>
            </w:pPr>
          </w:p>
        </w:tc>
        <w:tc>
          <w:tcPr>
            <w:tcW w:w="2258" w:type="dxa"/>
            <w:tcBorders>
              <w:top w:val="single" w:color="auto" w:sz="4" w:space="0"/>
            </w:tcBorders>
          </w:tcPr>
          <w:p>
            <w:pPr>
              <w:pStyle w:val="45"/>
              <w:spacing w:line="360" w:lineRule="auto"/>
              <w:jc w:val="center"/>
              <w:rPr>
                <w:rFonts w:ascii="宋体" w:hAnsi="宋体" w:cs="Arial"/>
                <w:color w:val="auto"/>
                <w:szCs w:val="21"/>
                <w:highlight w:val="none"/>
              </w:rPr>
            </w:pPr>
          </w:p>
        </w:tc>
        <w:tc>
          <w:tcPr>
            <w:tcW w:w="2260" w:type="dxa"/>
            <w:tcBorders>
              <w:top w:val="single" w:color="auto" w:sz="4" w:space="0"/>
            </w:tcBorders>
          </w:tcPr>
          <w:p>
            <w:pPr>
              <w:pStyle w:val="45"/>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spacing w:line="360" w:lineRule="auto"/>
              <w:jc w:val="center"/>
              <w:rPr>
                <w:rFonts w:ascii="宋体" w:hAnsi="宋体" w:cs="Arial"/>
                <w:color w:val="auto"/>
                <w:szCs w:val="21"/>
                <w:highlight w:val="none"/>
              </w:rPr>
            </w:pPr>
          </w:p>
        </w:tc>
        <w:tc>
          <w:tcPr>
            <w:tcW w:w="2258" w:type="dxa"/>
          </w:tcPr>
          <w:p>
            <w:pPr>
              <w:pStyle w:val="45"/>
              <w:spacing w:line="360" w:lineRule="auto"/>
              <w:jc w:val="center"/>
              <w:rPr>
                <w:rFonts w:ascii="宋体" w:hAnsi="宋体" w:cs="Arial"/>
                <w:color w:val="auto"/>
                <w:szCs w:val="21"/>
                <w:highlight w:val="none"/>
              </w:rPr>
            </w:pPr>
          </w:p>
        </w:tc>
        <w:tc>
          <w:tcPr>
            <w:tcW w:w="2260" w:type="dxa"/>
          </w:tcPr>
          <w:p>
            <w:pPr>
              <w:pStyle w:val="45"/>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spacing w:line="360" w:lineRule="auto"/>
              <w:jc w:val="center"/>
              <w:rPr>
                <w:rFonts w:ascii="宋体" w:hAnsi="宋体" w:cs="Arial"/>
                <w:color w:val="auto"/>
                <w:szCs w:val="21"/>
                <w:highlight w:val="none"/>
              </w:rPr>
            </w:pPr>
          </w:p>
        </w:tc>
        <w:tc>
          <w:tcPr>
            <w:tcW w:w="2258" w:type="dxa"/>
          </w:tcPr>
          <w:p>
            <w:pPr>
              <w:pStyle w:val="45"/>
              <w:spacing w:line="360" w:lineRule="auto"/>
              <w:jc w:val="center"/>
              <w:rPr>
                <w:rFonts w:ascii="宋体" w:hAnsi="宋体" w:cs="Arial"/>
                <w:color w:val="auto"/>
                <w:szCs w:val="21"/>
                <w:highlight w:val="none"/>
              </w:rPr>
            </w:pPr>
          </w:p>
        </w:tc>
        <w:tc>
          <w:tcPr>
            <w:tcW w:w="2260" w:type="dxa"/>
          </w:tcPr>
          <w:p>
            <w:pPr>
              <w:pStyle w:val="45"/>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spacing w:line="360" w:lineRule="auto"/>
              <w:jc w:val="center"/>
              <w:rPr>
                <w:rFonts w:ascii="宋体" w:hAnsi="宋体" w:cs="Arial"/>
                <w:color w:val="auto"/>
                <w:szCs w:val="21"/>
                <w:highlight w:val="none"/>
              </w:rPr>
            </w:pPr>
          </w:p>
        </w:tc>
        <w:tc>
          <w:tcPr>
            <w:tcW w:w="2258" w:type="dxa"/>
          </w:tcPr>
          <w:p>
            <w:pPr>
              <w:pStyle w:val="45"/>
              <w:spacing w:line="360" w:lineRule="auto"/>
              <w:jc w:val="center"/>
              <w:rPr>
                <w:rFonts w:ascii="宋体" w:hAnsi="宋体" w:cs="Arial"/>
                <w:color w:val="auto"/>
                <w:szCs w:val="21"/>
                <w:highlight w:val="none"/>
              </w:rPr>
            </w:pPr>
          </w:p>
        </w:tc>
        <w:tc>
          <w:tcPr>
            <w:tcW w:w="2260" w:type="dxa"/>
          </w:tcPr>
          <w:p>
            <w:pPr>
              <w:pStyle w:val="45"/>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spacing w:line="360" w:lineRule="auto"/>
              <w:jc w:val="center"/>
              <w:rPr>
                <w:rFonts w:ascii="宋体" w:hAnsi="宋体" w:cs="Arial"/>
                <w:color w:val="auto"/>
                <w:szCs w:val="21"/>
                <w:highlight w:val="none"/>
              </w:rPr>
            </w:pPr>
          </w:p>
        </w:tc>
        <w:tc>
          <w:tcPr>
            <w:tcW w:w="2258" w:type="dxa"/>
          </w:tcPr>
          <w:p>
            <w:pPr>
              <w:pStyle w:val="45"/>
              <w:spacing w:line="360" w:lineRule="auto"/>
              <w:jc w:val="center"/>
              <w:rPr>
                <w:rFonts w:ascii="宋体" w:hAnsi="宋体" w:cs="Arial"/>
                <w:color w:val="auto"/>
                <w:szCs w:val="21"/>
                <w:highlight w:val="none"/>
              </w:rPr>
            </w:pPr>
          </w:p>
        </w:tc>
        <w:tc>
          <w:tcPr>
            <w:tcW w:w="2260" w:type="dxa"/>
          </w:tcPr>
          <w:p>
            <w:pPr>
              <w:pStyle w:val="45"/>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45"/>
              <w:spacing w:line="360" w:lineRule="auto"/>
              <w:jc w:val="center"/>
              <w:rPr>
                <w:rFonts w:ascii="宋体" w:hAnsi="宋体" w:cs="Arial"/>
                <w:color w:val="auto"/>
                <w:szCs w:val="21"/>
                <w:highlight w:val="none"/>
              </w:rPr>
            </w:pPr>
          </w:p>
        </w:tc>
        <w:tc>
          <w:tcPr>
            <w:tcW w:w="2258" w:type="dxa"/>
          </w:tcPr>
          <w:p>
            <w:pPr>
              <w:pStyle w:val="45"/>
              <w:spacing w:line="360" w:lineRule="auto"/>
              <w:jc w:val="center"/>
              <w:rPr>
                <w:rFonts w:ascii="宋体" w:hAnsi="宋体" w:cs="Arial"/>
                <w:color w:val="auto"/>
                <w:szCs w:val="21"/>
                <w:highlight w:val="none"/>
              </w:rPr>
            </w:pPr>
          </w:p>
        </w:tc>
        <w:tc>
          <w:tcPr>
            <w:tcW w:w="2260" w:type="dxa"/>
          </w:tcPr>
          <w:p>
            <w:pPr>
              <w:pStyle w:val="45"/>
              <w:spacing w:line="360" w:lineRule="auto"/>
              <w:jc w:val="center"/>
              <w:rPr>
                <w:rFonts w:ascii="宋体" w:hAnsi="宋体" w:cs="Arial"/>
                <w:color w:val="auto"/>
                <w:szCs w:val="21"/>
                <w:highlight w:val="none"/>
              </w:rPr>
            </w:pPr>
          </w:p>
        </w:tc>
        <w:tc>
          <w:tcPr>
            <w:tcW w:w="2047" w:type="dxa"/>
            <w:tcBorders>
              <w:right w:val="single" w:color="auto" w:sz="4" w:space="0"/>
            </w:tcBorders>
          </w:tcPr>
          <w:p>
            <w:pPr>
              <w:pStyle w:val="45"/>
              <w:spacing w:line="360" w:lineRule="auto"/>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45"/>
              <w:spacing w:line="360" w:lineRule="auto"/>
              <w:jc w:val="center"/>
              <w:rPr>
                <w:rFonts w:ascii="宋体" w:hAnsi="宋体" w:cs="Arial"/>
                <w:color w:val="auto"/>
                <w:szCs w:val="21"/>
                <w:highlight w:val="none"/>
              </w:rPr>
            </w:pPr>
          </w:p>
        </w:tc>
        <w:tc>
          <w:tcPr>
            <w:tcW w:w="2258" w:type="dxa"/>
            <w:tcBorders>
              <w:bottom w:val="single" w:color="auto" w:sz="4" w:space="0"/>
            </w:tcBorders>
          </w:tcPr>
          <w:p>
            <w:pPr>
              <w:pStyle w:val="45"/>
              <w:spacing w:line="360" w:lineRule="auto"/>
              <w:jc w:val="center"/>
              <w:rPr>
                <w:rFonts w:ascii="宋体" w:hAnsi="宋体" w:cs="Arial"/>
                <w:color w:val="auto"/>
                <w:szCs w:val="21"/>
                <w:highlight w:val="none"/>
              </w:rPr>
            </w:pPr>
          </w:p>
        </w:tc>
        <w:tc>
          <w:tcPr>
            <w:tcW w:w="2260" w:type="dxa"/>
            <w:tcBorders>
              <w:bottom w:val="single" w:color="auto" w:sz="4" w:space="0"/>
            </w:tcBorders>
          </w:tcPr>
          <w:p>
            <w:pPr>
              <w:pStyle w:val="45"/>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pPr>
              <w:pStyle w:val="45"/>
              <w:spacing w:line="360" w:lineRule="auto"/>
              <w:jc w:val="center"/>
              <w:rPr>
                <w:rFonts w:ascii="宋体" w:hAnsi="宋体" w:cs="Arial"/>
                <w:color w:val="auto"/>
                <w:szCs w:val="21"/>
                <w:highlight w:val="none"/>
              </w:rPr>
            </w:pPr>
          </w:p>
        </w:tc>
      </w:tr>
    </w:tbl>
    <w:p>
      <w:pPr>
        <w:pStyle w:val="45"/>
        <w:tabs>
          <w:tab w:val="left" w:pos="1050"/>
        </w:tabs>
        <w:spacing w:line="360" w:lineRule="auto"/>
        <w:rPr>
          <w:rFonts w:ascii="仿宋_GB2312" w:hAnsi="宋体" w:eastAsia="仿宋_GB2312"/>
          <w:color w:val="auto"/>
          <w:sz w:val="24"/>
          <w:highlight w:val="none"/>
        </w:rPr>
      </w:pPr>
    </w:p>
    <w:p>
      <w:pPr>
        <w:pStyle w:val="4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pPr>
        <w:pStyle w:val="4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pPr>
        <w:pStyle w:val="45"/>
        <w:tabs>
          <w:tab w:val="left" w:pos="1050"/>
        </w:tabs>
        <w:spacing w:line="360" w:lineRule="auto"/>
        <w:ind w:firstLine="720" w:firstLineChars="300"/>
        <w:rPr>
          <w:rFonts w:ascii="仿宋_GB2312" w:hAnsi="宋体" w:eastAsia="仿宋_GB2312"/>
          <w:color w:val="auto"/>
          <w:sz w:val="24"/>
          <w:highlight w:val="none"/>
        </w:rPr>
      </w:pPr>
    </w:p>
    <w:p>
      <w:pPr>
        <w:pStyle w:val="45"/>
        <w:tabs>
          <w:tab w:val="left" w:pos="1050"/>
        </w:tabs>
        <w:spacing w:line="360" w:lineRule="auto"/>
        <w:ind w:firstLine="720" w:firstLineChars="300"/>
        <w:rPr>
          <w:rFonts w:ascii="仿宋_GB2312" w:hAnsi="宋体" w:eastAsia="仿宋_GB2312"/>
          <w:color w:val="auto"/>
          <w:sz w:val="24"/>
          <w:highlight w:val="none"/>
        </w:rPr>
      </w:pPr>
    </w:p>
    <w:p>
      <w:pPr>
        <w:pStyle w:val="45"/>
        <w:tabs>
          <w:tab w:val="left" w:pos="1050"/>
        </w:tabs>
        <w:spacing w:line="360" w:lineRule="auto"/>
        <w:ind w:firstLine="720" w:firstLineChars="300"/>
        <w:rPr>
          <w:rFonts w:ascii="仿宋_GB2312" w:hAnsi="宋体" w:eastAsia="仿宋_GB2312"/>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pStyle w:val="41"/>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p>
    <w:p>
      <w:pPr>
        <w:spacing w:line="360" w:lineRule="auto"/>
        <w:rPr>
          <w:rFonts w:ascii="宋体" w:hAnsi="宋体"/>
          <w:b/>
          <w:color w:val="auto"/>
          <w:sz w:val="28"/>
          <w:highlight w:val="none"/>
        </w:rPr>
      </w:pPr>
      <w:r>
        <w:rPr>
          <w:rFonts w:hint="eastAsia" w:ascii="宋体" w:hAnsi="宋体"/>
          <w:b/>
          <w:color w:val="auto"/>
          <w:sz w:val="28"/>
          <w:highlight w:val="none"/>
        </w:rPr>
        <w:t>附件11</w:t>
      </w:r>
    </w:p>
    <w:p>
      <w:pPr>
        <w:pStyle w:val="44"/>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投标人类似项目实施情况一览表</w:t>
      </w:r>
    </w:p>
    <w:p>
      <w:pPr>
        <w:pStyle w:val="44"/>
        <w:spacing w:line="360" w:lineRule="auto"/>
        <w:jc w:val="center"/>
        <w:rPr>
          <w:rFonts w:ascii="仿宋_GB2312" w:eastAsia="仿宋_GB2312"/>
          <w:b/>
          <w:color w:val="auto"/>
          <w:sz w:val="28"/>
          <w:szCs w:val="28"/>
          <w:highlight w:val="none"/>
        </w:rPr>
      </w:pPr>
    </w:p>
    <w:tbl>
      <w:tblPr>
        <w:tblStyle w:val="22"/>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44"/>
              <w:spacing w:line="360" w:lineRule="auto"/>
              <w:rPr>
                <w:rFonts w:ascii="宋体" w:hAnsi="宋体" w:cs="Arial"/>
                <w:color w:val="auto"/>
                <w:sz w:val="24"/>
                <w:highlight w:val="none"/>
              </w:rPr>
            </w:pPr>
          </w:p>
        </w:tc>
      </w:tr>
    </w:tbl>
    <w:p>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pPr>
        <w:autoSpaceDE w:val="0"/>
        <w:autoSpaceDN w:val="0"/>
        <w:adjustRightInd w:val="0"/>
        <w:spacing w:before="156"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w:t>
      </w:r>
      <w:r>
        <w:rPr>
          <w:rFonts w:hint="eastAsia" w:ascii="宋体" w:hAnsi="宋体" w:cs="Arial"/>
          <w:color w:val="auto"/>
          <w:szCs w:val="21"/>
          <w:highlight w:val="none"/>
        </w:rPr>
        <w:t>提供合同和中标通知书原件的扫描件（如合同等不能说明业绩要求的，另须提供业主证明等证明资料）、报告封面和扉页。</w:t>
      </w:r>
    </w:p>
    <w:p>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.报价供应商</w:t>
      </w:r>
      <w:r>
        <w:rPr>
          <w:rFonts w:ascii="宋体" w:hAnsi="宋体" w:cs="Arial"/>
          <w:color w:val="auto"/>
          <w:szCs w:val="21"/>
          <w:highlight w:val="none"/>
        </w:rPr>
        <w:t>可按此表格式复制</w:t>
      </w:r>
      <w:r>
        <w:rPr>
          <w:rFonts w:hint="eastAsia" w:ascii="宋体" w:hAnsi="宋体" w:cs="Arial"/>
          <w:color w:val="auto"/>
          <w:szCs w:val="21"/>
          <w:highlight w:val="none"/>
        </w:rPr>
        <w:t>。</w:t>
      </w:r>
    </w:p>
    <w:p>
      <w:pPr>
        <w:spacing w:line="360" w:lineRule="auto"/>
        <w:rPr>
          <w:rFonts w:ascii="宋体" w:hAnsi="宋体"/>
          <w:color w:val="auto"/>
          <w:sz w:val="22"/>
          <w:szCs w:val="22"/>
          <w:highlight w:val="none"/>
        </w:rPr>
      </w:pPr>
    </w:p>
    <w:p>
      <w:pPr>
        <w:spacing w:line="360" w:lineRule="auto"/>
        <w:rPr>
          <w:rFonts w:ascii="宋体" w:hAnsi="宋体"/>
          <w:color w:val="auto"/>
          <w:sz w:val="22"/>
          <w:szCs w:val="22"/>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pPr>
        <w:jc w:val="center"/>
        <w:rPr>
          <w:rFonts w:ascii="仿宋" w:hAnsi="仿宋" w:eastAsia="仿宋"/>
          <w:snapToGrid w:val="0"/>
          <w:color w:val="auto"/>
          <w:kern w:val="0"/>
          <w:sz w:val="24"/>
          <w:highlight w:val="none"/>
        </w:rPr>
      </w:pPr>
    </w:p>
    <w:p>
      <w:pPr>
        <w:pStyle w:val="45"/>
        <w:tabs>
          <w:tab w:val="left" w:pos="1050"/>
        </w:tabs>
        <w:spacing w:line="360" w:lineRule="auto"/>
        <w:rPr>
          <w:rFonts w:ascii="仿宋_GB2312" w:hAnsi="宋体" w:eastAsia="仿宋_GB2312"/>
          <w:color w:val="auto"/>
          <w:sz w:val="24"/>
          <w:highlight w:val="none"/>
        </w:rPr>
      </w:pPr>
      <w:r>
        <w:rPr>
          <w:rFonts w:hint="eastAsia" w:ascii="宋体" w:hAnsi="宋体"/>
          <w:b/>
          <w:color w:val="auto"/>
          <w:sz w:val="28"/>
          <w:highlight w:val="none"/>
        </w:rPr>
        <w:t>附件12</w:t>
      </w:r>
    </w:p>
    <w:p>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资信及商务需求响应表</w:t>
      </w:r>
    </w:p>
    <w:p>
      <w:pPr>
        <w:spacing w:line="360" w:lineRule="auto"/>
        <w:ind w:left="481" w:leftChars="229" w:firstLine="813" w:firstLineChars="450"/>
        <w:rPr>
          <w:rFonts w:ascii="宋体" w:hAnsi="宋体"/>
          <w:b/>
          <w:color w:val="auto"/>
          <w:sz w:val="18"/>
          <w:szCs w:val="18"/>
          <w:highlight w:val="none"/>
        </w:rPr>
      </w:pPr>
    </w:p>
    <w:tbl>
      <w:tblPr>
        <w:tblStyle w:val="22"/>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售后服务保障要求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备品备件及耗材等要求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项目进度要求</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付款条件</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r>
              <w:rPr>
                <w:rFonts w:hint="eastAsia" w:ascii="宋体" w:hAnsi="宋体"/>
                <w:color w:val="auto"/>
                <w:sz w:val="24"/>
                <w:highlight w:val="none"/>
              </w:rPr>
              <w:t>……</w:t>
            </w: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auto"/>
                <w:sz w:val="24"/>
                <w:highlight w:val="none"/>
              </w:rPr>
            </w:pPr>
          </w:p>
        </w:tc>
        <w:tc>
          <w:tcPr>
            <w:tcW w:w="1785" w:type="dxa"/>
            <w:vAlign w:val="center"/>
          </w:tcPr>
          <w:p>
            <w:pPr>
              <w:snapToGrid w:val="0"/>
              <w:rPr>
                <w:rFonts w:ascii="宋体" w:hAnsi="宋体"/>
                <w:color w:val="auto"/>
                <w:sz w:val="24"/>
                <w:highlight w:val="none"/>
              </w:rPr>
            </w:pPr>
          </w:p>
        </w:tc>
        <w:tc>
          <w:tcPr>
            <w:tcW w:w="1785" w:type="dxa"/>
            <w:vAlign w:val="center"/>
          </w:tcPr>
          <w:p>
            <w:pPr>
              <w:rPr>
                <w:rFonts w:ascii="宋体" w:hAnsi="宋体"/>
                <w:color w:val="auto"/>
                <w:sz w:val="24"/>
                <w:highlight w:val="none"/>
              </w:rPr>
            </w:pPr>
          </w:p>
        </w:tc>
        <w:tc>
          <w:tcPr>
            <w:tcW w:w="1365" w:type="dxa"/>
            <w:vAlign w:val="center"/>
          </w:tcPr>
          <w:p>
            <w:pPr>
              <w:rPr>
                <w:rFonts w:ascii="宋体" w:hAnsi="宋体"/>
                <w:color w:val="auto"/>
                <w:sz w:val="24"/>
                <w:highlight w:val="none"/>
              </w:rPr>
            </w:pPr>
          </w:p>
        </w:tc>
        <w:tc>
          <w:tcPr>
            <w:tcW w:w="2625" w:type="dxa"/>
            <w:vAlign w:val="center"/>
          </w:tcPr>
          <w:p>
            <w:pPr>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rPr>
          <w:rFonts w:ascii="宋体" w:hAnsi="宋体"/>
          <w:b/>
          <w:color w:val="auto"/>
          <w:sz w:val="28"/>
          <w:highlight w:val="none"/>
        </w:rPr>
      </w:pPr>
      <w:r>
        <w:rPr>
          <w:rFonts w:hint="eastAsia" w:ascii="宋体" w:hAnsi="宋体"/>
          <w:b/>
          <w:color w:val="auto"/>
          <w:sz w:val="28"/>
          <w:highlight w:val="none"/>
        </w:rPr>
        <w:br w:type="page"/>
      </w:r>
    </w:p>
    <w:p>
      <w:pPr>
        <w:tabs>
          <w:tab w:val="left" w:pos="2460"/>
        </w:tabs>
        <w:spacing w:line="360" w:lineRule="auto"/>
        <w:ind w:firstLine="435"/>
        <w:rPr>
          <w:rFonts w:ascii="宋体" w:hAnsi="宋体"/>
          <w:b/>
          <w:color w:val="auto"/>
          <w:sz w:val="28"/>
          <w:highlight w:val="none"/>
        </w:rPr>
      </w:pPr>
      <w:r>
        <w:rPr>
          <w:rFonts w:hint="eastAsia" w:ascii="宋体" w:hAnsi="宋体"/>
          <w:b/>
          <w:color w:val="auto"/>
          <w:sz w:val="28"/>
          <w:highlight w:val="none"/>
        </w:rPr>
        <w:t>附件13</w:t>
      </w:r>
      <w:r>
        <w:rPr>
          <w:rFonts w:ascii="宋体" w:hAnsi="宋体"/>
          <w:b/>
          <w:color w:val="auto"/>
          <w:sz w:val="28"/>
          <w:highlight w:val="none"/>
        </w:rPr>
        <w:tab/>
      </w:r>
    </w:p>
    <w:p>
      <w:pPr>
        <w:spacing w:line="360" w:lineRule="auto"/>
        <w:ind w:firstLine="435"/>
        <w:jc w:val="center"/>
        <w:rPr>
          <w:rFonts w:ascii="宋体" w:hAnsi="宋体"/>
          <w:b/>
          <w:color w:val="auto"/>
          <w:sz w:val="32"/>
          <w:szCs w:val="32"/>
          <w:highlight w:val="none"/>
        </w:rPr>
      </w:pPr>
      <w:r>
        <w:rPr>
          <w:rFonts w:hint="eastAsia" w:ascii="宋体" w:hAnsi="宋体"/>
          <w:b/>
          <w:color w:val="auto"/>
          <w:sz w:val="32"/>
          <w:szCs w:val="32"/>
          <w:highlight w:val="none"/>
        </w:rPr>
        <w:t>售后服务情况表</w:t>
      </w:r>
    </w:p>
    <w:p>
      <w:pPr>
        <w:spacing w:line="360" w:lineRule="auto"/>
        <w:ind w:firstLine="435"/>
        <w:jc w:val="center"/>
        <w:rPr>
          <w:rFonts w:ascii="宋体" w:hAnsi="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46"/>
              <w:spacing w:line="360" w:lineRule="auto"/>
              <w:jc w:val="center"/>
              <w:rPr>
                <w:rFonts w:ascii="宋体" w:hAnsi="宋体" w:cs="Arial"/>
                <w:b/>
                <w:color w:val="auto"/>
                <w:sz w:val="24"/>
                <w:highlight w:val="none"/>
              </w:rPr>
            </w:pPr>
            <w:r>
              <w:rPr>
                <w:rFonts w:hint="eastAsia" w:ascii="宋体" w:hAnsi="宋体" w:cs="Arial"/>
                <w:b/>
                <w:color w:val="auto"/>
                <w:sz w:val="24"/>
                <w:highlight w:val="none"/>
              </w:rPr>
              <w:t>序号</w:t>
            </w:r>
          </w:p>
        </w:tc>
        <w:tc>
          <w:tcPr>
            <w:tcW w:w="2355" w:type="dxa"/>
            <w:vAlign w:val="center"/>
          </w:tcPr>
          <w:p>
            <w:pPr>
              <w:pStyle w:val="46"/>
              <w:spacing w:line="360" w:lineRule="auto"/>
              <w:jc w:val="center"/>
              <w:rPr>
                <w:rFonts w:ascii="宋体" w:hAnsi="宋体" w:cs="Arial"/>
                <w:b/>
                <w:color w:val="auto"/>
                <w:sz w:val="24"/>
                <w:highlight w:val="none"/>
              </w:rPr>
            </w:pPr>
            <w:r>
              <w:rPr>
                <w:rFonts w:hint="eastAsia" w:ascii="宋体" w:hAnsi="宋体" w:cs="Arial"/>
                <w:b/>
                <w:color w:val="auto"/>
                <w:sz w:val="24"/>
                <w:highlight w:val="none"/>
              </w:rPr>
              <w:t>项目</w:t>
            </w:r>
          </w:p>
        </w:tc>
        <w:tc>
          <w:tcPr>
            <w:tcW w:w="4061" w:type="dxa"/>
            <w:vAlign w:val="center"/>
          </w:tcPr>
          <w:p>
            <w:pPr>
              <w:pStyle w:val="46"/>
              <w:spacing w:line="360" w:lineRule="auto"/>
              <w:jc w:val="center"/>
              <w:rPr>
                <w:rFonts w:ascii="宋体" w:hAnsi="宋体" w:cs="Arial"/>
                <w:b/>
                <w:color w:val="auto"/>
                <w:sz w:val="24"/>
                <w:highlight w:val="none"/>
              </w:rPr>
            </w:pPr>
            <w:r>
              <w:rPr>
                <w:rFonts w:hint="eastAsia" w:ascii="宋体" w:hAnsi="宋体" w:cs="Arial"/>
                <w:b/>
                <w:color w:val="auto"/>
                <w:sz w:val="24"/>
                <w:highlight w:val="none"/>
              </w:rPr>
              <w:t>投标人情况</w:t>
            </w:r>
          </w:p>
        </w:tc>
        <w:tc>
          <w:tcPr>
            <w:tcW w:w="1373" w:type="dxa"/>
            <w:vAlign w:val="center"/>
          </w:tcPr>
          <w:p>
            <w:pPr>
              <w:pStyle w:val="46"/>
              <w:spacing w:line="360" w:lineRule="auto"/>
              <w:jc w:val="center"/>
              <w:rPr>
                <w:rFonts w:ascii="宋体" w:hAnsi="宋体" w:cs="Arial"/>
                <w:b/>
                <w:color w:val="auto"/>
                <w:sz w:val="24"/>
                <w:highlight w:val="none"/>
              </w:rPr>
            </w:pPr>
            <w:r>
              <w:rPr>
                <w:rFonts w:hint="eastAsia" w:ascii="宋体" w:hAnsi="宋体" w:cs="Arial"/>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46"/>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1</w:t>
            </w:r>
          </w:p>
        </w:tc>
        <w:tc>
          <w:tcPr>
            <w:tcW w:w="2355" w:type="dxa"/>
            <w:vMerge w:val="restart"/>
            <w:vAlign w:val="center"/>
          </w:tcPr>
          <w:p>
            <w:pPr>
              <w:pStyle w:val="46"/>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保修期内售后服务情况(</w:t>
            </w:r>
            <w:r>
              <w:rPr>
                <w:rFonts w:ascii="宋体" w:hAnsi="宋体" w:cs="Arial"/>
                <w:bCs/>
                <w:color w:val="auto"/>
                <w:sz w:val="24"/>
                <w:highlight w:val="none"/>
              </w:rPr>
              <w:t>服务</w:t>
            </w:r>
            <w:r>
              <w:rPr>
                <w:rFonts w:hint="eastAsia" w:ascii="宋体" w:hAnsi="宋体" w:cs="Arial"/>
                <w:bCs/>
                <w:color w:val="auto"/>
                <w:sz w:val="24"/>
                <w:highlight w:val="none"/>
              </w:rPr>
              <w:t>方式、服务网点</w:t>
            </w:r>
            <w:r>
              <w:rPr>
                <w:rFonts w:ascii="宋体" w:hAnsi="宋体" w:cs="Arial"/>
                <w:bCs/>
                <w:color w:val="auto"/>
                <w:sz w:val="24"/>
                <w:highlight w:val="none"/>
              </w:rPr>
              <w:t>、售后服务的内容和措施</w:t>
            </w:r>
            <w:r>
              <w:rPr>
                <w:rFonts w:hint="eastAsia" w:ascii="宋体" w:hAnsi="宋体" w:cs="Arial"/>
                <w:bCs/>
                <w:color w:val="auto"/>
                <w:sz w:val="24"/>
                <w:highlight w:val="none"/>
              </w:rPr>
              <w:t>等等，可用附页和宣传材料)</w:t>
            </w:r>
          </w:p>
        </w:tc>
        <w:tc>
          <w:tcPr>
            <w:tcW w:w="4061" w:type="dxa"/>
          </w:tcPr>
          <w:p>
            <w:pPr>
              <w:pStyle w:val="46"/>
              <w:spacing w:line="360" w:lineRule="auto"/>
              <w:rPr>
                <w:rFonts w:ascii="宋体" w:hAnsi="宋体" w:cs="Arial"/>
                <w:bCs/>
                <w:color w:val="auto"/>
                <w:sz w:val="24"/>
                <w:highlight w:val="none"/>
              </w:rPr>
            </w:pPr>
            <w:r>
              <w:rPr>
                <w:rFonts w:hint="eastAsia" w:ascii="宋体" w:hAnsi="宋体" w:cs="Arial"/>
                <w:bCs/>
                <w:color w:val="auto"/>
                <w:sz w:val="24"/>
                <w:highlight w:val="none"/>
              </w:rPr>
              <w:t>生产厂商售后服务情况：</w:t>
            </w:r>
          </w:p>
        </w:tc>
        <w:tc>
          <w:tcPr>
            <w:tcW w:w="1373" w:type="dxa"/>
          </w:tcPr>
          <w:p>
            <w:pPr>
              <w:pStyle w:val="46"/>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46"/>
              <w:widowControl/>
              <w:spacing w:line="360" w:lineRule="auto"/>
              <w:jc w:val="left"/>
              <w:rPr>
                <w:rFonts w:ascii="宋体" w:hAnsi="宋体" w:cs="Arial"/>
                <w:bCs/>
                <w:color w:val="auto"/>
                <w:sz w:val="24"/>
                <w:highlight w:val="none"/>
              </w:rPr>
            </w:pPr>
          </w:p>
        </w:tc>
        <w:tc>
          <w:tcPr>
            <w:tcW w:w="2355" w:type="dxa"/>
            <w:vMerge w:val="continue"/>
            <w:vAlign w:val="center"/>
          </w:tcPr>
          <w:p>
            <w:pPr>
              <w:pStyle w:val="46"/>
              <w:widowControl/>
              <w:spacing w:line="360" w:lineRule="auto"/>
              <w:jc w:val="left"/>
              <w:rPr>
                <w:rFonts w:ascii="宋体" w:hAnsi="宋体" w:cs="Arial"/>
                <w:bCs/>
                <w:color w:val="auto"/>
                <w:sz w:val="24"/>
                <w:highlight w:val="none"/>
              </w:rPr>
            </w:pPr>
          </w:p>
        </w:tc>
        <w:tc>
          <w:tcPr>
            <w:tcW w:w="4061" w:type="dxa"/>
          </w:tcPr>
          <w:p>
            <w:pPr>
              <w:pStyle w:val="46"/>
              <w:spacing w:line="360" w:lineRule="auto"/>
              <w:rPr>
                <w:rFonts w:ascii="宋体" w:hAnsi="宋体" w:cs="Arial"/>
                <w:bCs/>
                <w:color w:val="auto"/>
                <w:sz w:val="24"/>
                <w:highlight w:val="none"/>
              </w:rPr>
            </w:pPr>
            <w:r>
              <w:rPr>
                <w:rFonts w:hint="eastAsia" w:ascii="宋体" w:hAnsi="宋体" w:cs="Arial"/>
                <w:bCs/>
                <w:color w:val="auto"/>
                <w:sz w:val="24"/>
                <w:highlight w:val="none"/>
              </w:rPr>
              <w:t>投标人售后服务情况：</w:t>
            </w:r>
          </w:p>
        </w:tc>
        <w:tc>
          <w:tcPr>
            <w:tcW w:w="1373" w:type="dxa"/>
          </w:tcPr>
          <w:p>
            <w:pPr>
              <w:pStyle w:val="46"/>
              <w:spacing w:line="360" w:lineRule="auto"/>
              <w:jc w:val="left"/>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46"/>
              <w:spacing w:line="360" w:lineRule="auto"/>
              <w:jc w:val="center"/>
              <w:rPr>
                <w:rFonts w:ascii="宋体" w:hAnsi="宋体" w:cs="Arial"/>
                <w:bCs/>
                <w:color w:val="auto"/>
                <w:sz w:val="24"/>
                <w:highlight w:val="none"/>
              </w:rPr>
            </w:pPr>
            <w:r>
              <w:rPr>
                <w:rFonts w:hint="eastAsia" w:ascii="宋体" w:hAnsi="宋体" w:cs="Arial"/>
                <w:bCs/>
                <w:color w:val="auto"/>
                <w:sz w:val="24"/>
                <w:highlight w:val="none"/>
              </w:rPr>
              <w:t>2</w:t>
            </w:r>
          </w:p>
        </w:tc>
        <w:tc>
          <w:tcPr>
            <w:tcW w:w="2355" w:type="dxa"/>
            <w:vAlign w:val="center"/>
          </w:tcPr>
          <w:p>
            <w:pPr>
              <w:pStyle w:val="46"/>
              <w:spacing w:line="360" w:lineRule="auto"/>
              <w:rPr>
                <w:rFonts w:ascii="宋体" w:hAnsi="宋体" w:cs="Arial"/>
                <w:bCs/>
                <w:color w:val="auto"/>
                <w:sz w:val="24"/>
                <w:highlight w:val="none"/>
              </w:rPr>
            </w:pPr>
            <w:r>
              <w:rPr>
                <w:rFonts w:hint="eastAsia" w:ascii="宋体" w:hAnsi="宋体" w:cs="Arial"/>
                <w:bCs/>
                <w:color w:val="auto"/>
                <w:sz w:val="24"/>
                <w:highlight w:val="none"/>
              </w:rPr>
              <w:t>保修期后售后服务</w:t>
            </w:r>
          </w:p>
        </w:tc>
        <w:tc>
          <w:tcPr>
            <w:tcW w:w="4061" w:type="dxa"/>
          </w:tcPr>
          <w:p>
            <w:pPr>
              <w:pStyle w:val="46"/>
              <w:widowControl/>
              <w:spacing w:line="360" w:lineRule="auto"/>
              <w:jc w:val="left"/>
              <w:rPr>
                <w:rFonts w:ascii="宋体" w:hAnsi="宋体" w:cs="Arial"/>
                <w:bCs/>
                <w:color w:val="auto"/>
                <w:sz w:val="24"/>
                <w:highlight w:val="none"/>
              </w:rPr>
            </w:pPr>
          </w:p>
          <w:p>
            <w:pPr>
              <w:pStyle w:val="46"/>
              <w:widowControl/>
              <w:spacing w:line="360" w:lineRule="auto"/>
              <w:jc w:val="left"/>
              <w:rPr>
                <w:rFonts w:ascii="宋体" w:hAnsi="宋体" w:cs="Arial"/>
                <w:bCs/>
                <w:color w:val="auto"/>
                <w:sz w:val="24"/>
                <w:highlight w:val="none"/>
              </w:rPr>
            </w:pPr>
          </w:p>
          <w:p>
            <w:pPr>
              <w:pStyle w:val="46"/>
              <w:spacing w:line="360" w:lineRule="auto"/>
              <w:rPr>
                <w:rFonts w:ascii="宋体" w:hAnsi="宋体" w:cs="Arial"/>
                <w:bCs/>
                <w:color w:val="auto"/>
                <w:sz w:val="24"/>
                <w:highlight w:val="none"/>
              </w:rPr>
            </w:pPr>
          </w:p>
        </w:tc>
        <w:tc>
          <w:tcPr>
            <w:tcW w:w="1373" w:type="dxa"/>
          </w:tcPr>
          <w:p>
            <w:pPr>
              <w:pStyle w:val="46"/>
              <w:widowControl/>
              <w:spacing w:line="360" w:lineRule="auto"/>
              <w:jc w:val="left"/>
              <w:rPr>
                <w:rFonts w:ascii="宋体" w:hAnsi="宋体" w:cs="Arial"/>
                <w:bCs/>
                <w:color w:val="auto"/>
                <w:sz w:val="24"/>
                <w:highlight w:val="none"/>
              </w:rPr>
            </w:pPr>
          </w:p>
          <w:p>
            <w:pPr>
              <w:pStyle w:val="46"/>
              <w:widowControl/>
              <w:spacing w:line="360" w:lineRule="auto"/>
              <w:jc w:val="left"/>
              <w:rPr>
                <w:rFonts w:ascii="宋体" w:hAnsi="宋体" w:cs="Arial"/>
                <w:bCs/>
                <w:color w:val="auto"/>
                <w:sz w:val="24"/>
                <w:highlight w:val="none"/>
              </w:rPr>
            </w:pPr>
          </w:p>
          <w:p>
            <w:pPr>
              <w:pStyle w:val="46"/>
              <w:spacing w:line="360" w:lineRule="auto"/>
              <w:rPr>
                <w:rFonts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46"/>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 xml:space="preserve"> 3</w:t>
            </w:r>
          </w:p>
        </w:tc>
        <w:tc>
          <w:tcPr>
            <w:tcW w:w="2355" w:type="dxa"/>
            <w:vAlign w:val="center"/>
          </w:tcPr>
          <w:p>
            <w:pPr>
              <w:pStyle w:val="46"/>
              <w:widowControl/>
              <w:spacing w:line="360" w:lineRule="auto"/>
              <w:jc w:val="left"/>
              <w:rPr>
                <w:rFonts w:ascii="宋体" w:hAnsi="宋体" w:cs="Arial"/>
                <w:bCs/>
                <w:color w:val="auto"/>
                <w:sz w:val="24"/>
                <w:highlight w:val="none"/>
              </w:rPr>
            </w:pPr>
            <w:r>
              <w:rPr>
                <w:rFonts w:hint="eastAsia" w:ascii="宋体" w:hAnsi="宋体" w:cs="Arial"/>
                <w:bCs/>
                <w:color w:val="auto"/>
                <w:sz w:val="24"/>
                <w:highlight w:val="none"/>
              </w:rPr>
              <w:t>培训方案（可用附页）</w:t>
            </w:r>
          </w:p>
        </w:tc>
        <w:tc>
          <w:tcPr>
            <w:tcW w:w="4061" w:type="dxa"/>
          </w:tcPr>
          <w:p>
            <w:pPr>
              <w:pStyle w:val="46"/>
              <w:widowControl/>
              <w:spacing w:line="360" w:lineRule="auto"/>
              <w:jc w:val="left"/>
              <w:rPr>
                <w:rFonts w:ascii="宋体" w:hAnsi="宋体" w:cs="Arial"/>
                <w:bCs/>
                <w:i/>
                <w:color w:val="auto"/>
                <w:sz w:val="24"/>
                <w:highlight w:val="none"/>
              </w:rPr>
            </w:pPr>
          </w:p>
          <w:p>
            <w:pPr>
              <w:pStyle w:val="46"/>
              <w:widowControl/>
              <w:spacing w:line="360" w:lineRule="auto"/>
              <w:jc w:val="left"/>
              <w:rPr>
                <w:rFonts w:ascii="宋体" w:hAnsi="宋体" w:cs="Arial"/>
                <w:bCs/>
                <w:i/>
                <w:color w:val="auto"/>
                <w:sz w:val="24"/>
                <w:highlight w:val="none"/>
              </w:rPr>
            </w:pPr>
          </w:p>
        </w:tc>
        <w:tc>
          <w:tcPr>
            <w:tcW w:w="1373" w:type="dxa"/>
          </w:tcPr>
          <w:p>
            <w:pPr>
              <w:pStyle w:val="46"/>
              <w:widowControl/>
              <w:spacing w:line="360" w:lineRule="auto"/>
              <w:jc w:val="left"/>
              <w:rPr>
                <w:rFonts w:ascii="宋体" w:hAnsi="宋体" w:cs="Arial"/>
                <w:bCs/>
                <w:i/>
                <w:color w:val="auto"/>
                <w:sz w:val="24"/>
                <w:highlight w:val="none"/>
              </w:rPr>
            </w:pPr>
          </w:p>
          <w:p>
            <w:pPr>
              <w:pStyle w:val="46"/>
              <w:widowControl/>
              <w:spacing w:line="360" w:lineRule="auto"/>
              <w:jc w:val="left"/>
              <w:rPr>
                <w:rFonts w:ascii="宋体" w:hAnsi="宋体" w:cs="Arial"/>
                <w:bCs/>
                <w:i/>
                <w:color w:val="auto"/>
                <w:sz w:val="24"/>
                <w:highlight w:val="none"/>
              </w:rPr>
            </w:pPr>
          </w:p>
          <w:p>
            <w:pPr>
              <w:pStyle w:val="46"/>
              <w:widowControl/>
              <w:spacing w:line="360" w:lineRule="auto"/>
              <w:jc w:val="left"/>
              <w:rPr>
                <w:rFonts w:ascii="宋体" w:hAnsi="宋体" w:cs="Arial"/>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46"/>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2355" w:type="dxa"/>
            <w:vAlign w:val="center"/>
          </w:tcPr>
          <w:p>
            <w:pPr>
              <w:pStyle w:val="46"/>
              <w:widowControl/>
              <w:spacing w:line="360" w:lineRule="auto"/>
              <w:jc w:val="left"/>
              <w:rPr>
                <w:rFonts w:ascii="宋体" w:hAnsi="宋体" w:cs="Arial"/>
                <w:bCs/>
                <w:color w:val="auto"/>
                <w:sz w:val="24"/>
                <w:highlight w:val="none"/>
              </w:rPr>
            </w:pPr>
            <w:r>
              <w:rPr>
                <w:rFonts w:ascii="宋体" w:hAnsi="宋体" w:cs="Arial"/>
                <w:bCs/>
                <w:color w:val="auto"/>
                <w:sz w:val="24"/>
                <w:highlight w:val="none"/>
              </w:rPr>
              <w:t>……</w:t>
            </w:r>
          </w:p>
        </w:tc>
        <w:tc>
          <w:tcPr>
            <w:tcW w:w="4061" w:type="dxa"/>
          </w:tcPr>
          <w:p>
            <w:pPr>
              <w:pStyle w:val="46"/>
              <w:widowControl/>
              <w:spacing w:line="360" w:lineRule="auto"/>
              <w:jc w:val="left"/>
              <w:rPr>
                <w:rFonts w:ascii="宋体" w:hAnsi="宋体" w:cs="Arial"/>
                <w:bCs/>
                <w:color w:val="auto"/>
                <w:sz w:val="24"/>
                <w:highlight w:val="none"/>
              </w:rPr>
            </w:pPr>
          </w:p>
        </w:tc>
        <w:tc>
          <w:tcPr>
            <w:tcW w:w="1373" w:type="dxa"/>
          </w:tcPr>
          <w:p>
            <w:pPr>
              <w:pStyle w:val="46"/>
              <w:widowControl/>
              <w:spacing w:line="360" w:lineRule="auto"/>
              <w:jc w:val="left"/>
              <w:rPr>
                <w:rFonts w:ascii="宋体" w:hAnsi="宋体" w:cs="Arial"/>
                <w:bCs/>
                <w:color w:val="auto"/>
                <w:sz w:val="24"/>
                <w:highlight w:val="none"/>
              </w:rPr>
            </w:pPr>
          </w:p>
        </w:tc>
      </w:tr>
    </w:tbl>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pPr>
        <w:spacing w:line="360" w:lineRule="auto"/>
        <w:ind w:firstLine="435"/>
        <w:rPr>
          <w:rFonts w:ascii="宋体" w:hAnsi="宋体"/>
          <w:color w:val="auto"/>
          <w:sz w:val="24"/>
          <w:highlight w:val="none"/>
          <w:u w:val="singl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ind w:right="-110"/>
        <w:jc w:val="left"/>
        <w:rPr>
          <w:rFonts w:ascii="宋体" w:hAnsi="宋体"/>
          <w:b/>
          <w:color w:val="auto"/>
          <w:sz w:val="28"/>
          <w:highlight w:val="none"/>
        </w:rPr>
      </w:pPr>
      <w:r>
        <w:rPr>
          <w:rFonts w:hint="eastAsia" w:ascii="宋体" w:hAnsi="宋体"/>
          <w:b/>
          <w:color w:val="auto"/>
          <w:sz w:val="28"/>
          <w:highlight w:val="none"/>
        </w:rPr>
        <w:t>附件14</w:t>
      </w:r>
    </w:p>
    <w:p>
      <w:pPr>
        <w:pStyle w:val="18"/>
        <w:spacing w:before="0" w:beforeAutospacing="0" w:after="0" w:afterAutospacing="0" w:line="360" w:lineRule="auto"/>
        <w:jc w:val="center"/>
        <w:rPr>
          <w:rFonts w:hint="default"/>
          <w:b/>
          <w:color w:val="auto"/>
          <w:sz w:val="32"/>
          <w:szCs w:val="32"/>
          <w:highlight w:val="none"/>
        </w:rPr>
      </w:pPr>
      <w:r>
        <w:rPr>
          <w:b/>
          <w:color w:val="auto"/>
          <w:kern w:val="2"/>
          <w:sz w:val="32"/>
          <w:szCs w:val="32"/>
          <w:highlight w:val="none"/>
          <w:lang w:bidi="ar"/>
        </w:rPr>
        <w:t>主要货物用材响应表（如有则提供）</w:t>
      </w:r>
    </w:p>
    <w:tbl>
      <w:tblPr>
        <w:tblStyle w:val="22"/>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仿宋_GB2312"/>
                <w:color w:val="auto"/>
                <w:kern w:val="2"/>
                <w:highlight w:val="none"/>
                <w:lang w:bidi="ar"/>
              </w:rPr>
              <w:t>序号</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仿宋_GB2312"/>
                <w:color w:val="auto"/>
                <w:kern w:val="2"/>
                <w:highlight w:val="none"/>
                <w:lang w:bidi="ar"/>
              </w:rPr>
              <w:t>货物名称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仿宋_GB2312"/>
                <w:color w:val="auto"/>
                <w:kern w:val="2"/>
                <w:highlight w:val="none"/>
                <w:lang w:bidi="ar"/>
              </w:rPr>
              <w:t>产品配置</w:t>
            </w:r>
          </w:p>
        </w:tc>
        <w:tc>
          <w:tcPr>
            <w:tcW w:w="6644" w:type="dxa"/>
            <w:gridSpan w:val="6"/>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仿宋_GB2312"/>
                <w:color w:val="auto"/>
                <w:kern w:val="2"/>
                <w:highlight w:val="none"/>
                <w:lang w:bidi="ar"/>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olor w:val="auto"/>
                <w:szCs w:val="22"/>
                <w:highlight w:val="none"/>
              </w:rPr>
            </w:p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宋体"/>
                <w:bCs/>
                <w:color w:val="auto"/>
                <w:kern w:val="2"/>
                <w:highlight w:val="none"/>
                <w:lang w:bidi="ar"/>
              </w:rPr>
              <w:t>材料规格及参数</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仿宋_GB2312"/>
                <w:color w:val="auto"/>
                <w:kern w:val="2"/>
                <w:highlight w:val="none"/>
                <w:lang w:bidi="ar"/>
              </w:rPr>
              <w:t>品牌</w:t>
            </w:r>
          </w:p>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仿宋_GB2312"/>
                <w:color w:val="auto"/>
                <w:kern w:val="2"/>
                <w:highlight w:val="none"/>
                <w:lang w:bidi="ar"/>
              </w:rPr>
              <w:t>商标</w:t>
            </w: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仿宋_GB2312"/>
                <w:color w:val="auto"/>
                <w:kern w:val="2"/>
                <w:highlight w:val="none"/>
                <w:lang w:bidi="ar"/>
              </w:rPr>
              <w:t>生产厂家</w:t>
            </w: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仿宋_GB2312"/>
                <w:color w:val="auto"/>
                <w:kern w:val="2"/>
                <w:highlight w:val="none"/>
                <w:lang w:bidi="ar"/>
              </w:rPr>
              <w:t>符合标准</w:t>
            </w: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仿宋_GB2312"/>
                <w:color w:val="auto"/>
                <w:kern w:val="2"/>
                <w:highlight w:val="none"/>
                <w:lang w:bidi="ar"/>
              </w:rPr>
              <w:t>性能说明</w:t>
            </w: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r>
              <w:rPr>
                <w:rFonts w:ascii="仿宋_GB2312" w:eastAsia="仿宋_GB2312" w:cs="仿宋_GB2312"/>
                <w:color w:val="auto"/>
                <w:kern w:val="2"/>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pacing w:before="0" w:beforeAutospacing="0" w:after="0" w:afterAutospacing="0" w:line="360" w:lineRule="auto"/>
              <w:jc w:val="center"/>
              <w:rPr>
                <w:rFonts w:hint="default" w:ascii="仿宋_GB2312" w:eastAsia="仿宋_GB2312" w:cs="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jc w:val="center"/>
              <w:rPr>
                <w:rFonts w:hint="default" w:ascii="仿宋_GB2312" w:eastAsia="仿宋_GB2312" w:cs="宋体"/>
                <w:color w:val="auto"/>
                <w:highlight w:val="none"/>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4"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2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Pr>
          <w:p>
            <w:pPr>
              <w:pStyle w:val="18"/>
              <w:widowControl w:val="0"/>
              <w:autoSpaceDE w:val="0"/>
              <w:autoSpaceDN w:val="0"/>
              <w:adjustRightInd w:val="0"/>
              <w:spacing w:before="0" w:beforeAutospacing="0" w:after="0" w:afterAutospacing="0" w:line="360" w:lineRule="auto"/>
              <w:ind w:right="84" w:rightChars="40"/>
              <w:jc w:val="center"/>
              <w:rPr>
                <w:rFonts w:hint="default" w:ascii="仿宋_GB2312" w:eastAsia="仿宋_GB2312" w:cs="仿宋_GB2312"/>
                <w:color w:val="auto"/>
                <w:highlight w:val="none"/>
              </w:rPr>
            </w:pPr>
          </w:p>
        </w:tc>
      </w:tr>
    </w:tbl>
    <w:p>
      <w:pPr>
        <w:spacing w:line="360" w:lineRule="auto"/>
        <w:rPr>
          <w:rFonts w:ascii="宋体" w:hAnsi="宋体" w:cs="宋体"/>
          <w:b/>
          <w:color w:val="auto"/>
          <w:szCs w:val="21"/>
          <w:highlight w:val="none"/>
        </w:rPr>
      </w:pPr>
      <w:r>
        <w:rPr>
          <w:rFonts w:hint="eastAsia" w:ascii="宋体" w:hAnsi="宋体" w:cs="宋体"/>
          <w:b/>
          <w:color w:val="auto"/>
          <w:szCs w:val="21"/>
          <w:highlight w:val="none"/>
          <w:lang w:bidi="ar"/>
        </w:rPr>
        <w:t>要求：</w:t>
      </w:r>
    </w:p>
    <w:p>
      <w:pPr>
        <w:pStyle w:val="18"/>
        <w:widowControl w:val="0"/>
        <w:spacing w:before="0" w:beforeAutospacing="0" w:after="0" w:afterAutospacing="0" w:line="360" w:lineRule="auto"/>
        <w:ind w:left="717" w:leftChars="227" w:hanging="240" w:hangingChars="100"/>
        <w:jc w:val="both"/>
        <w:rPr>
          <w:rFonts w:hint="default" w:ascii="仿宋_GB2312" w:eastAsia="仿宋_GB2312" w:cs="仿宋_GB2312"/>
          <w:color w:val="auto"/>
          <w:highlight w:val="none"/>
        </w:rPr>
      </w:pPr>
      <w:r>
        <w:rPr>
          <w:rFonts w:ascii="仿宋_GB2312" w:hAnsi="Times New Roman" w:eastAsia="仿宋_GB2312" w:cs="仿宋_GB2312"/>
          <w:color w:val="auto"/>
          <w:kern w:val="2"/>
          <w:highlight w:val="none"/>
          <w:lang w:bidi="ar"/>
        </w:rPr>
        <w:t>1.请列出以上</w:t>
      </w:r>
      <w:r>
        <w:rPr>
          <w:rFonts w:ascii="仿宋_GB2312" w:eastAsia="仿宋_GB2312" w:cs="仿宋_GB2312"/>
          <w:color w:val="auto"/>
          <w:kern w:val="2"/>
          <w:highlight w:val="none"/>
          <w:lang w:bidi="ar"/>
        </w:rPr>
        <w:t>产品的各项主要用材、辅料、油漆、五金件等。</w:t>
      </w:r>
    </w:p>
    <w:p>
      <w:pPr>
        <w:pStyle w:val="18"/>
        <w:widowControl w:val="0"/>
        <w:spacing w:before="0" w:beforeAutospacing="0" w:after="0" w:afterAutospacing="0" w:line="360" w:lineRule="auto"/>
        <w:ind w:firstLine="480" w:firstLineChars="200"/>
        <w:jc w:val="both"/>
        <w:rPr>
          <w:rFonts w:hint="default" w:ascii="仿宋_GB2312" w:eastAsia="仿宋_GB2312" w:cs="仿宋_GB2312"/>
          <w:color w:val="auto"/>
          <w:highlight w:val="none"/>
        </w:rPr>
      </w:pPr>
      <w:r>
        <w:rPr>
          <w:rFonts w:ascii="仿宋_GB2312" w:hAnsi="Times New Roman" w:eastAsia="仿宋_GB2312" w:cs="仿宋_GB2312"/>
          <w:color w:val="auto"/>
          <w:kern w:val="2"/>
          <w:highlight w:val="none"/>
          <w:lang w:bidi="ar"/>
        </w:rPr>
        <w:t>2.本表所列产品主要用材均为采购人抽样送检的范围。</w:t>
      </w:r>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lang w:bidi="ar"/>
        </w:rPr>
        <w:t>投标人名称（盖章）：</w:t>
      </w:r>
    </w:p>
    <w:p>
      <w:pPr>
        <w:spacing w:line="360" w:lineRule="auto"/>
        <w:ind w:left="42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bidi="ar"/>
        </w:rPr>
        <w:t>投标人代表签字或盖章：</w:t>
      </w:r>
    </w:p>
    <w:p>
      <w:pPr>
        <w:spacing w:line="360" w:lineRule="auto"/>
        <w:ind w:firstLine="435"/>
        <w:rPr>
          <w:rFonts w:ascii="宋体" w:hAnsi="宋体" w:cs="宋体"/>
          <w:color w:val="auto"/>
          <w:sz w:val="24"/>
          <w:highlight w:val="none"/>
        </w:rPr>
      </w:pPr>
    </w:p>
    <w:p>
      <w:pPr>
        <w:tabs>
          <w:tab w:val="left" w:pos="2901"/>
        </w:tabs>
        <w:spacing w:line="360" w:lineRule="auto"/>
        <w:ind w:firstLine="480" w:firstLineChars="200"/>
        <w:rPr>
          <w:rFonts w:ascii="宋体" w:hAnsi="宋体" w:cs="宋体"/>
          <w:color w:val="auto"/>
          <w:sz w:val="24"/>
          <w:highlight w:val="none"/>
          <w:lang w:bidi="ar"/>
        </w:rPr>
      </w:pPr>
      <w:r>
        <w:rPr>
          <w:rFonts w:hint="eastAsia" w:ascii="宋体" w:hAnsi="宋体" w:cs="宋体"/>
          <w:color w:val="auto"/>
          <w:sz w:val="24"/>
          <w:highlight w:val="none"/>
          <w:lang w:bidi="ar"/>
        </w:rPr>
        <w:t>职        务：</w:t>
      </w:r>
      <w:r>
        <w:rPr>
          <w:rFonts w:hint="eastAsia" w:ascii="宋体" w:hAnsi="宋体" w:cs="宋体"/>
          <w:color w:val="auto"/>
          <w:sz w:val="24"/>
          <w:highlight w:val="none"/>
          <w:lang w:bidi="ar"/>
        </w:rPr>
        <w:tab/>
      </w:r>
    </w:p>
    <w:p>
      <w:pPr>
        <w:tabs>
          <w:tab w:val="left" w:pos="2901"/>
        </w:tabs>
        <w:spacing w:line="360" w:lineRule="auto"/>
        <w:ind w:firstLine="480" w:firstLineChars="200"/>
        <w:rPr>
          <w:rFonts w:ascii="宋体" w:hAnsi="宋体" w:cs="宋体"/>
          <w:color w:val="auto"/>
          <w:sz w:val="24"/>
          <w:highlight w:val="none"/>
          <w:lang w:bidi="ar"/>
        </w:rPr>
      </w:pPr>
    </w:p>
    <w:p>
      <w:pPr>
        <w:tabs>
          <w:tab w:val="left" w:pos="2901"/>
        </w:tabs>
        <w:spacing w:line="360" w:lineRule="auto"/>
        <w:ind w:firstLine="480" w:firstLineChars="200"/>
        <w:rPr>
          <w:color w:val="auto"/>
          <w:highlight w:val="none"/>
        </w:rPr>
      </w:pPr>
      <w:r>
        <w:rPr>
          <w:rFonts w:hint="eastAsia" w:ascii="宋体" w:hAnsi="宋体"/>
          <w:color w:val="auto"/>
          <w:sz w:val="24"/>
          <w:highlight w:val="none"/>
          <w:lang w:bidi="ar"/>
        </w:rPr>
        <w:t>日        期：</w:t>
      </w:r>
    </w:p>
    <w:p>
      <w:pPr>
        <w:pStyle w:val="2"/>
        <w:rPr>
          <w:color w:val="auto"/>
          <w:highlight w:val="none"/>
        </w:rPr>
      </w:pPr>
    </w:p>
    <w:p>
      <w:pPr>
        <w:rPr>
          <w:rFonts w:ascii="宋体" w:hAnsi="宋体"/>
          <w:color w:val="auto"/>
          <w:spacing w:val="40"/>
          <w:sz w:val="52"/>
          <w:szCs w:val="52"/>
          <w:highlight w:val="none"/>
        </w:rPr>
      </w:pPr>
      <w:r>
        <w:rPr>
          <w:rFonts w:hint="eastAsia" w:ascii="宋体" w:hAnsi="宋体"/>
          <w:color w:val="auto"/>
          <w:spacing w:val="40"/>
          <w:sz w:val="52"/>
          <w:szCs w:val="52"/>
          <w:highlight w:val="none"/>
        </w:rPr>
        <w:br w:type="page"/>
      </w:r>
    </w:p>
    <w:p>
      <w:pPr>
        <w:spacing w:line="360" w:lineRule="auto"/>
        <w:ind w:right="-110"/>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pPr>
        <w:spacing w:before="312"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项目编号：（标段）</w:t>
      </w:r>
    </w:p>
    <w:p>
      <w:pPr>
        <w:spacing w:after="100" w:afterAutospacing="1" w:line="360" w:lineRule="auto"/>
        <w:ind w:right="-108"/>
        <w:jc w:val="center"/>
        <w:rPr>
          <w:rFonts w:ascii="宋体" w:hAnsi="宋体"/>
          <w:b/>
          <w:color w:val="auto"/>
          <w:spacing w:val="40"/>
          <w:sz w:val="84"/>
          <w:szCs w:val="84"/>
          <w:highlight w:val="none"/>
        </w:rPr>
      </w:pP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报</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价</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文</w:t>
      </w:r>
    </w:p>
    <w:p>
      <w:pPr>
        <w:spacing w:after="100" w:afterAutospacing="1" w:line="360" w:lineRule="auto"/>
        <w:ind w:right="-108"/>
        <w:jc w:val="center"/>
        <w:rPr>
          <w:rFonts w:ascii="宋体" w:hAnsi="宋体"/>
          <w:b/>
          <w:color w:val="auto"/>
          <w:spacing w:val="40"/>
          <w:sz w:val="84"/>
          <w:szCs w:val="84"/>
          <w:highlight w:val="none"/>
        </w:rPr>
      </w:pPr>
      <w:r>
        <w:rPr>
          <w:rFonts w:hint="eastAsia" w:ascii="宋体" w:hAnsi="宋体"/>
          <w:b/>
          <w:color w:val="auto"/>
          <w:spacing w:val="40"/>
          <w:sz w:val="84"/>
          <w:szCs w:val="84"/>
          <w:highlight w:val="none"/>
        </w:rPr>
        <w:t>件</w:t>
      </w:r>
    </w:p>
    <w:p>
      <w:pPr>
        <w:spacing w:line="360" w:lineRule="auto"/>
        <w:ind w:right="532"/>
        <w:jc w:val="center"/>
        <w:rPr>
          <w:rFonts w:ascii="宋体" w:hAnsi="宋体"/>
          <w:color w:val="auto"/>
          <w:sz w:val="36"/>
          <w:szCs w:val="36"/>
          <w:highlight w:val="none"/>
        </w:rPr>
      </w:pPr>
    </w:p>
    <w:p>
      <w:pPr>
        <w:spacing w:line="360" w:lineRule="auto"/>
        <w:ind w:right="532"/>
        <w:rPr>
          <w:rFonts w:ascii="宋体" w:hAnsi="宋体"/>
          <w:color w:val="auto"/>
          <w:sz w:val="36"/>
          <w:szCs w:val="36"/>
          <w:highlight w:val="none"/>
        </w:rPr>
      </w:pPr>
    </w:p>
    <w:p>
      <w:pPr>
        <w:spacing w:line="360" w:lineRule="auto"/>
        <w:ind w:right="532"/>
        <w:jc w:val="center"/>
        <w:rPr>
          <w:rFonts w:ascii="宋体" w:hAnsi="宋体"/>
          <w:color w:val="auto"/>
          <w:sz w:val="36"/>
          <w:szCs w:val="36"/>
          <w:highlight w:val="none"/>
        </w:rPr>
      </w:pPr>
    </w:p>
    <w:p>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供应商全称（公章）：</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pPr>
        <w:spacing w:line="360" w:lineRule="auto"/>
        <w:ind w:right="-108"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pPr>
        <w:spacing w:line="360" w:lineRule="auto"/>
        <w:ind w:right="-108"/>
        <w:jc w:val="center"/>
        <w:rPr>
          <w:rFonts w:ascii="仿宋_GB2312" w:hAnsi="宋体" w:eastAsia="仿宋_GB2312"/>
          <w:b/>
          <w:color w:val="auto"/>
          <w:sz w:val="36"/>
          <w:szCs w:val="36"/>
          <w:highlight w:val="none"/>
        </w:rPr>
      </w:pPr>
    </w:p>
    <w:p>
      <w:pPr>
        <w:spacing w:line="360" w:lineRule="auto"/>
        <w:ind w:right="-108"/>
        <w:jc w:val="center"/>
        <w:rPr>
          <w:rFonts w:ascii="宋体" w:hAnsi="宋体"/>
          <w:b/>
          <w:color w:val="auto"/>
          <w:sz w:val="32"/>
          <w:szCs w:val="32"/>
          <w:highlight w:val="none"/>
        </w:rPr>
      </w:pPr>
      <w:r>
        <w:rPr>
          <w:rFonts w:hint="eastAsia" w:ascii="宋体" w:hAnsi="宋体"/>
          <w:b/>
          <w:color w:val="auto"/>
          <w:sz w:val="32"/>
          <w:szCs w:val="32"/>
          <w:highlight w:val="none"/>
        </w:rPr>
        <w:t>报价文件目录</w:t>
      </w:r>
    </w:p>
    <w:p>
      <w:pPr>
        <w:spacing w:line="360" w:lineRule="auto"/>
        <w:ind w:right="-108"/>
        <w:jc w:val="center"/>
        <w:rPr>
          <w:rFonts w:ascii="仿宋_GB2312" w:hAnsi="宋体" w:eastAsia="仿宋_GB2312"/>
          <w:b/>
          <w:color w:val="auto"/>
          <w:sz w:val="36"/>
          <w:szCs w:val="36"/>
          <w:highlight w:val="none"/>
        </w:rPr>
      </w:pPr>
    </w:p>
    <w:p>
      <w:pPr>
        <w:spacing w:line="360" w:lineRule="auto"/>
        <w:rPr>
          <w:rFonts w:ascii="宋体" w:hAnsi="宋体"/>
          <w:color w:val="auto"/>
          <w:sz w:val="24"/>
          <w:highlight w:val="none"/>
        </w:rPr>
      </w:pP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1、开标一览表（附件15）；</w:t>
      </w: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、针对报价投标人认为其他需要说明的；</w:t>
      </w: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、小微企业等声明函</w:t>
      </w:r>
      <w:r>
        <w:rPr>
          <w:rFonts w:hint="eastAsia" w:asciiTheme="minorEastAsia" w:hAnsiTheme="minorEastAsia" w:eastAsiaTheme="minorEastAsia" w:cstheme="minorEastAsia"/>
          <w:color w:val="auto"/>
          <w:sz w:val="24"/>
          <w:highlight w:val="none"/>
          <w:lang w:eastAsia="zh-CN"/>
        </w:rPr>
        <w:t>（若有）</w:t>
      </w:r>
      <w:r>
        <w:rPr>
          <w:rFonts w:hint="eastAsia" w:asciiTheme="minorEastAsia" w:hAnsiTheme="minorEastAsia" w:eastAsiaTheme="minorEastAsia" w:cstheme="minorEastAsia"/>
          <w:color w:val="auto"/>
          <w:sz w:val="24"/>
          <w:highlight w:val="none"/>
        </w:rPr>
        <w:t>（附件1</w:t>
      </w:r>
      <w:r>
        <w:rPr>
          <w:rFonts w:hint="eastAsia" w:asciiTheme="minorEastAsia" w:hAnsiTheme="minorEastAsia" w:eastAsiaTheme="minorEastAsia" w:cstheme="minorEastAsia"/>
          <w:color w:val="auto"/>
          <w:sz w:val="24"/>
          <w:highlight w:val="none"/>
          <w:lang w:val="en-US" w:eastAsia="zh-CN"/>
        </w:rPr>
        <w:t>6</w:t>
      </w:r>
      <w:r>
        <w:rPr>
          <w:rFonts w:hint="eastAsia" w:asciiTheme="minorEastAsia" w:hAnsiTheme="minorEastAsia" w:eastAsiaTheme="minorEastAsia" w:cstheme="minorEastAsia"/>
          <w:color w:val="auto"/>
          <w:sz w:val="24"/>
          <w:highlight w:val="none"/>
        </w:rPr>
        <w:t>）；</w:t>
      </w:r>
    </w:p>
    <w:p>
      <w:pPr>
        <w:snapToGri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、产品适用政府采购政策情况表</w:t>
      </w:r>
      <w:r>
        <w:rPr>
          <w:rFonts w:hint="eastAsia" w:asciiTheme="minorEastAsia" w:hAnsiTheme="minorEastAsia" w:eastAsiaTheme="minorEastAsia" w:cstheme="minorEastAsia"/>
          <w:color w:val="auto"/>
          <w:sz w:val="24"/>
          <w:highlight w:val="none"/>
          <w:lang w:eastAsia="zh-CN"/>
        </w:rPr>
        <w:t>（若有）</w:t>
      </w:r>
      <w:r>
        <w:rPr>
          <w:rFonts w:hint="eastAsia" w:asciiTheme="minorEastAsia" w:hAnsiTheme="minorEastAsia" w:eastAsiaTheme="minorEastAsia" w:cstheme="minorEastAsia"/>
          <w:color w:val="auto"/>
          <w:sz w:val="24"/>
          <w:highlight w:val="none"/>
        </w:rPr>
        <w:t>（附件1</w:t>
      </w:r>
      <w:r>
        <w:rPr>
          <w:rFonts w:hint="eastAsia" w:asciiTheme="minorEastAsia" w:hAnsiTheme="minorEastAsia" w:eastAsiaTheme="minorEastAsia" w:cstheme="minorEastAsia"/>
          <w:color w:val="auto"/>
          <w:sz w:val="24"/>
          <w:highlight w:val="none"/>
          <w:lang w:val="en-US" w:eastAsia="zh-CN"/>
        </w:rPr>
        <w:t>7</w:t>
      </w:r>
      <w:r>
        <w:rPr>
          <w:rFonts w:hint="eastAsia" w:asciiTheme="minorEastAsia" w:hAnsiTheme="minorEastAsia" w:eastAsiaTheme="minorEastAsia" w:cstheme="minorEastAsia"/>
          <w:color w:val="auto"/>
          <w:sz w:val="24"/>
          <w:highlight w:val="none"/>
        </w:rPr>
        <w:t>）</w:t>
      </w:r>
    </w:p>
    <w:p>
      <w:pPr>
        <w:spacing w:line="360" w:lineRule="auto"/>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spacing w:line="360" w:lineRule="auto"/>
        <w:ind w:left="480"/>
        <w:rPr>
          <w:rFonts w:ascii="宋体" w:hAnsi="宋体"/>
          <w:b/>
          <w:color w:val="auto"/>
          <w:sz w:val="28"/>
          <w:highlight w:val="none"/>
        </w:rPr>
      </w:pP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附件15</w:t>
      </w:r>
    </w:p>
    <w:p>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pPr>
        <w:spacing w:line="360" w:lineRule="auto"/>
        <w:ind w:left="-2" w:hanging="2"/>
        <w:jc w:val="center"/>
        <w:rPr>
          <w:rFonts w:ascii="宋体" w:hAnsi="宋体"/>
          <w:b/>
          <w:color w:val="auto"/>
          <w:sz w:val="32"/>
          <w:szCs w:val="32"/>
          <w:highlight w:val="none"/>
        </w:rPr>
      </w:pPr>
    </w:p>
    <w:p>
      <w:pPr>
        <w:pStyle w:val="13"/>
        <w:spacing w:line="320" w:lineRule="exact"/>
        <w:rPr>
          <w:rFonts w:hAnsi="宋体"/>
          <w:b/>
          <w:color w:val="auto"/>
          <w:sz w:val="24"/>
          <w:highlight w:val="none"/>
        </w:rPr>
      </w:pPr>
      <w:r>
        <w:rPr>
          <w:rFonts w:hAnsi="宋体"/>
          <w:b/>
          <w:color w:val="auto"/>
          <w:sz w:val="24"/>
          <w:highlight w:val="none"/>
        </w:rPr>
        <w:t>项目编号：</w:t>
      </w:r>
    </w:p>
    <w:p>
      <w:pPr>
        <w:pStyle w:val="50"/>
        <w:spacing w:line="360" w:lineRule="auto"/>
        <w:ind w:right="48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22"/>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auto"/>
                <w:sz w:val="24"/>
                <w:highlight w:val="none"/>
              </w:rPr>
            </w:pPr>
          </w:p>
        </w:tc>
      </w:tr>
    </w:tbl>
    <w:p>
      <w:pPr>
        <w:spacing w:line="360" w:lineRule="auto"/>
        <w:ind w:left="480"/>
        <w:rPr>
          <w:rFonts w:ascii="宋体" w:hAnsi="宋体"/>
          <w:b/>
          <w:color w:val="auto"/>
          <w:sz w:val="30"/>
          <w:highlight w:val="none"/>
        </w:rPr>
      </w:pPr>
    </w:p>
    <w:p>
      <w:pPr>
        <w:spacing w:line="360" w:lineRule="auto"/>
        <w:rPr>
          <w:rFonts w:ascii="宋体" w:hAnsi="宋体"/>
          <w:color w:val="auto"/>
          <w:sz w:val="24"/>
          <w:highlight w:val="none"/>
        </w:rPr>
      </w:pPr>
      <w:r>
        <w:rPr>
          <w:rFonts w:hint="eastAsia" w:ascii="宋体" w:hAnsi="宋体"/>
          <w:b/>
          <w:color w:val="auto"/>
          <w:szCs w:val="21"/>
          <w:highlight w:val="none"/>
        </w:rPr>
        <w:t>填报要求：</w:t>
      </w:r>
    </w:p>
    <w:p>
      <w:pPr>
        <w:pStyle w:val="7"/>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auto"/>
          <w:szCs w:val="21"/>
          <w:highlight w:val="none"/>
          <w:u w:val="single"/>
        </w:rPr>
      </w:pPr>
      <w:r>
        <w:rPr>
          <w:rFonts w:hint="eastAsia" w:ascii="宋体" w:hAnsi="宋体"/>
          <w:color w:val="auto"/>
          <w:kern w:val="0"/>
          <w:szCs w:val="21"/>
          <w:highlight w:val="none"/>
        </w:rPr>
        <w:t>2.报价一经涂改，应在涂改处加盖单位公章，或者由法定代表人或全权代表签字或盖章，否则其投标作无效标处理。</w:t>
      </w:r>
    </w:p>
    <w:p>
      <w:pPr>
        <w:spacing w:line="360" w:lineRule="auto"/>
        <w:ind w:left="420"/>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pPr>
        <w:spacing w:line="360" w:lineRule="auto"/>
        <w:rPr>
          <w:rFonts w:ascii="宋体" w:hAnsi="宋体"/>
          <w:color w:val="auto"/>
          <w:sz w:val="24"/>
          <w:highlight w:val="none"/>
        </w:rPr>
      </w:pPr>
    </w:p>
    <w:p>
      <w:pPr>
        <w:spacing w:line="360" w:lineRule="auto"/>
        <w:ind w:firstLine="435"/>
        <w:rPr>
          <w:rFonts w:hint="eastAsia" w:ascii="宋体" w:hAnsi="宋体"/>
          <w:color w:val="auto"/>
          <w:sz w:val="24"/>
          <w:highlight w:val="none"/>
        </w:rPr>
      </w:pPr>
      <w:r>
        <w:rPr>
          <w:rFonts w:hint="eastAsia" w:ascii="宋体" w:hAnsi="宋体"/>
          <w:color w:val="auto"/>
          <w:sz w:val="24"/>
          <w:highlight w:val="none"/>
        </w:rPr>
        <w:t>日        期：</w:t>
      </w:r>
    </w:p>
    <w:p>
      <w:pPr>
        <w:rPr>
          <w:rFonts w:hint="eastAsia" w:ascii="宋体" w:hAnsi="宋体"/>
          <w:color w:val="auto"/>
          <w:sz w:val="24"/>
          <w:highlight w:val="none"/>
        </w:rPr>
      </w:pPr>
      <w:r>
        <w:rPr>
          <w:rFonts w:hint="eastAsia" w:ascii="宋体" w:hAnsi="宋体"/>
          <w:color w:val="auto"/>
          <w:sz w:val="24"/>
          <w:highlight w:val="none"/>
        </w:rPr>
        <w:br w:type="page"/>
      </w:r>
    </w:p>
    <w:p>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w:t>
      </w:r>
    </w:p>
    <w:p>
      <w:pPr>
        <w:spacing w:line="360" w:lineRule="auto"/>
        <w:rPr>
          <w:rFonts w:ascii="宋体" w:hAnsi="宋体"/>
          <w:color w:val="auto"/>
          <w:sz w:val="24"/>
          <w:highlight w:val="none"/>
        </w:rPr>
      </w:pPr>
      <w:r>
        <w:rPr>
          <w:rFonts w:hint="eastAsia" w:ascii="宋体" w:hAnsi="宋体"/>
          <w:color w:val="auto"/>
          <w:sz w:val="24"/>
          <w:highlight w:val="none"/>
        </w:rPr>
        <w:t xml:space="preserve">  项目编号：                                    [货币单位：人民币元]</w:t>
      </w:r>
    </w:p>
    <w:tbl>
      <w:tblPr>
        <w:tblStyle w:val="22"/>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228"/>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875" w:type="dxa"/>
            <w:vAlign w:val="center"/>
          </w:tcPr>
          <w:p>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4228" w:type="dxa"/>
            <w:vAlign w:val="center"/>
          </w:tcPr>
          <w:p>
            <w:pPr>
              <w:spacing w:line="360" w:lineRule="auto"/>
              <w:ind w:left="52"/>
              <w:jc w:val="center"/>
              <w:rPr>
                <w:rFonts w:ascii="宋体" w:hAnsi="宋体"/>
                <w:b/>
                <w:color w:val="auto"/>
                <w:sz w:val="24"/>
                <w:highlight w:val="none"/>
              </w:rPr>
            </w:pPr>
            <w:r>
              <w:rPr>
                <w:rFonts w:hint="eastAsia" w:ascii="宋体" w:hAnsi="宋体"/>
                <w:b/>
                <w:color w:val="auto"/>
                <w:sz w:val="24"/>
                <w:highlight w:val="none"/>
              </w:rPr>
              <w:t>报价项目</w:t>
            </w:r>
          </w:p>
        </w:tc>
        <w:tc>
          <w:tcPr>
            <w:tcW w:w="851" w:type="dxa"/>
            <w:vAlign w:val="center"/>
          </w:tcPr>
          <w:p>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单价</w:t>
            </w:r>
          </w:p>
        </w:tc>
        <w:tc>
          <w:tcPr>
            <w:tcW w:w="992"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小计</w:t>
            </w:r>
          </w:p>
        </w:tc>
        <w:tc>
          <w:tcPr>
            <w:tcW w:w="709" w:type="dxa"/>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75" w:type="dxa"/>
            <w:vAlign w:val="center"/>
          </w:tcPr>
          <w:p>
            <w:pPr>
              <w:spacing w:line="360" w:lineRule="auto"/>
              <w:rPr>
                <w:rFonts w:ascii="宋体" w:hAnsi="宋体"/>
                <w:color w:val="auto"/>
                <w:sz w:val="24"/>
                <w:highlight w:val="none"/>
              </w:rPr>
            </w:pPr>
          </w:p>
        </w:tc>
        <w:tc>
          <w:tcPr>
            <w:tcW w:w="4228" w:type="dxa"/>
            <w:vAlign w:val="center"/>
          </w:tcPr>
          <w:p>
            <w:pPr>
              <w:spacing w:line="360" w:lineRule="auto"/>
              <w:rPr>
                <w:rFonts w:ascii="宋体" w:hAnsi="宋体"/>
                <w:color w:val="auto"/>
                <w:sz w:val="24"/>
                <w:highlight w:val="none"/>
              </w:rPr>
            </w:pPr>
          </w:p>
        </w:tc>
        <w:tc>
          <w:tcPr>
            <w:tcW w:w="851"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992" w:type="dxa"/>
            <w:vAlign w:val="center"/>
          </w:tcPr>
          <w:p>
            <w:pPr>
              <w:spacing w:line="360" w:lineRule="auto"/>
              <w:rPr>
                <w:rFonts w:ascii="宋体" w:hAnsi="宋体"/>
                <w:color w:val="auto"/>
                <w:sz w:val="24"/>
                <w:highlight w:val="none"/>
              </w:rPr>
            </w:pPr>
          </w:p>
        </w:tc>
        <w:tc>
          <w:tcPr>
            <w:tcW w:w="709"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647" w:type="dxa"/>
            <w:gridSpan w:val="6"/>
            <w:tcBorders>
              <w:bottom w:val="single" w:color="auto" w:sz="4" w:space="0"/>
            </w:tcBorders>
            <w:vAlign w:val="center"/>
          </w:tcPr>
          <w:p>
            <w:pPr>
              <w:spacing w:line="360" w:lineRule="auto"/>
              <w:rPr>
                <w:rFonts w:ascii="宋体" w:hAnsi="宋体"/>
                <w:b/>
                <w:color w:val="auto"/>
                <w:sz w:val="24"/>
                <w:highlight w:val="none"/>
              </w:rPr>
            </w:pPr>
            <w:r>
              <w:rPr>
                <w:rFonts w:hint="eastAsia" w:ascii="宋体" w:hAnsi="宋体"/>
                <w:b/>
                <w:color w:val="auto"/>
                <w:sz w:val="24"/>
                <w:highlight w:val="none"/>
              </w:rPr>
              <w:t>合计人民币：大写                               小写</w:t>
            </w:r>
          </w:p>
        </w:tc>
      </w:tr>
    </w:tbl>
    <w:p>
      <w:pPr>
        <w:spacing w:line="360" w:lineRule="auto"/>
        <w:rPr>
          <w:rFonts w:ascii="宋体" w:hAnsi="宋体"/>
          <w:b/>
          <w:color w:val="auto"/>
          <w:szCs w:val="21"/>
          <w:highlight w:val="none"/>
        </w:rPr>
      </w:pPr>
      <w:r>
        <w:rPr>
          <w:rFonts w:hint="eastAsia" w:ascii="宋体" w:hAnsi="宋体"/>
          <w:b/>
          <w:color w:val="auto"/>
          <w:szCs w:val="21"/>
          <w:highlight w:val="none"/>
        </w:rPr>
        <w:t>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pPr>
        <w:spacing w:line="360" w:lineRule="auto"/>
        <w:ind w:firstLine="420" w:firstLineChars="200"/>
        <w:rPr>
          <w:rFonts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“报价明细表”中的报价合计应与“开标一览表”中的投标总报价相一致，不一致时，以开标一览表为准。</w:t>
      </w:r>
    </w:p>
    <w:p>
      <w:pPr>
        <w:spacing w:line="360" w:lineRule="auto"/>
        <w:ind w:firstLine="420" w:firstLineChars="200"/>
        <w:rPr>
          <w:rFonts w:ascii="宋体"/>
          <w:color w:val="auto"/>
          <w:szCs w:val="21"/>
          <w:highlight w:val="none"/>
          <w:lang w:val="zh-CN"/>
        </w:rPr>
      </w:pPr>
      <w:r>
        <w:rPr>
          <w:rFonts w:hint="eastAsia" w:ascii="宋体"/>
          <w:color w:val="auto"/>
          <w:szCs w:val="21"/>
          <w:highlight w:val="none"/>
        </w:rPr>
        <w:t>3.</w:t>
      </w:r>
      <w:r>
        <w:rPr>
          <w:rFonts w:hint="eastAsia" w:ascii="宋体"/>
          <w:color w:val="auto"/>
          <w:szCs w:val="21"/>
          <w:highlight w:val="none"/>
          <w:lang w:val="zh-CN"/>
        </w:rPr>
        <w:t>投标报价明细表所填内容按招标文件采购设备清单要求为准。如有漏报的，视同已包含在投标总价内或已作优惠处理。有重大缺项的将作无效标处理。</w:t>
      </w:r>
    </w:p>
    <w:p>
      <w:pPr>
        <w:spacing w:line="360" w:lineRule="auto"/>
        <w:rPr>
          <w:rFonts w:ascii="宋体" w:hAnsi="宋体"/>
          <w:color w:val="auto"/>
          <w:sz w:val="24"/>
          <w:highlight w:val="none"/>
        </w:rPr>
      </w:pPr>
    </w:p>
    <w:p>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pPr>
        <w:spacing w:line="360" w:lineRule="auto"/>
        <w:ind w:left="420"/>
        <w:rPr>
          <w:rFonts w:ascii="宋体" w:hAnsi="宋体"/>
          <w:color w:val="auto"/>
          <w:sz w:val="24"/>
          <w:highlight w:val="none"/>
        </w:rPr>
      </w:pPr>
    </w:p>
    <w:p>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投标人代表签字或盖章：</w:t>
      </w:r>
    </w:p>
    <w:p>
      <w:pPr>
        <w:spacing w:line="360" w:lineRule="auto"/>
        <w:ind w:firstLine="435"/>
        <w:rPr>
          <w:rFonts w:ascii="宋体" w:hAnsi="宋体"/>
          <w:color w:val="auto"/>
          <w:sz w:val="24"/>
          <w:highlight w:val="none"/>
        </w:rPr>
      </w:pPr>
    </w:p>
    <w:p>
      <w:pPr>
        <w:spacing w:line="360" w:lineRule="auto"/>
        <w:ind w:firstLine="435"/>
        <w:rPr>
          <w:rFonts w:hint="eastAsia" w:ascii="宋体" w:hAnsi="宋体"/>
          <w:color w:val="auto"/>
          <w:sz w:val="24"/>
          <w:highlight w:val="none"/>
        </w:rPr>
      </w:pPr>
      <w:r>
        <w:rPr>
          <w:rFonts w:hint="eastAsia" w:ascii="宋体" w:hAnsi="宋体"/>
          <w:color w:val="auto"/>
          <w:sz w:val="24"/>
          <w:highlight w:val="none"/>
        </w:rPr>
        <w:t>职        务：</w:t>
      </w:r>
    </w:p>
    <w:p>
      <w:pPr>
        <w:spacing w:line="360" w:lineRule="auto"/>
        <w:ind w:firstLine="435"/>
        <w:rPr>
          <w:rFonts w:hint="eastAsia" w:ascii="宋体" w:hAnsi="宋体"/>
          <w:color w:val="auto"/>
          <w:sz w:val="24"/>
          <w:highlight w:val="none"/>
        </w:rPr>
      </w:pPr>
    </w:p>
    <w:p>
      <w:pPr>
        <w:pStyle w:val="21"/>
        <w:rPr>
          <w:color w:val="auto"/>
          <w:highlight w:val="none"/>
        </w:rPr>
      </w:pPr>
      <w:r>
        <w:rPr>
          <w:rFonts w:hint="eastAsia" w:ascii="宋体" w:hAnsi="宋体"/>
          <w:color w:val="auto"/>
          <w:sz w:val="24"/>
          <w:highlight w:val="none"/>
        </w:rPr>
        <w:t>日        期</w:t>
      </w:r>
      <w:r>
        <w:rPr>
          <w:rFonts w:hint="eastAsia" w:ascii="宋体" w:hAnsi="宋体"/>
          <w:color w:val="auto"/>
          <w:sz w:val="24"/>
          <w:highlight w:val="none"/>
          <w:lang w:eastAsia="zh-CN"/>
        </w:rPr>
        <w:t>：</w:t>
      </w:r>
    </w:p>
    <w:p>
      <w:pPr>
        <w:rPr>
          <w:rFonts w:ascii="宋体" w:hAnsi="宋体"/>
          <w:b/>
          <w:color w:val="auto"/>
          <w:sz w:val="28"/>
          <w:highlight w:val="none"/>
        </w:rPr>
      </w:pPr>
      <w:r>
        <w:rPr>
          <w:rFonts w:hint="eastAsia" w:ascii="宋体" w:hAnsi="宋体"/>
          <w:b/>
          <w:color w:val="auto"/>
          <w:sz w:val="28"/>
          <w:highlight w:val="none"/>
        </w:rPr>
        <w:br w:type="page"/>
      </w:r>
    </w:p>
    <w:p>
      <w:pPr>
        <w:spacing w:line="360" w:lineRule="auto"/>
        <w:rPr>
          <w:rFonts w:ascii="宋体" w:hAnsi="宋体"/>
          <w:b/>
          <w:color w:val="auto"/>
          <w:sz w:val="28"/>
          <w:highlight w:val="none"/>
        </w:rPr>
      </w:pPr>
      <w:r>
        <w:rPr>
          <w:rFonts w:hint="eastAsia" w:ascii="宋体" w:hAnsi="宋体"/>
          <w:b/>
          <w:color w:val="auto"/>
          <w:sz w:val="28"/>
          <w:highlight w:val="none"/>
        </w:rPr>
        <w:t>附件16</w:t>
      </w:r>
    </w:p>
    <w:p>
      <w:pPr>
        <w:spacing w:line="360" w:lineRule="auto"/>
        <w:ind w:right="-110"/>
        <w:jc w:val="center"/>
        <w:rPr>
          <w:rFonts w:ascii="宋体" w:hAnsi="宋体"/>
          <w:b/>
          <w:color w:val="auto"/>
          <w:sz w:val="32"/>
          <w:szCs w:val="32"/>
          <w:highlight w:val="none"/>
        </w:rPr>
      </w:pPr>
      <w:r>
        <w:rPr>
          <w:rFonts w:hint="eastAsia" w:ascii="宋体" w:hAnsi="宋体"/>
          <w:b/>
          <w:color w:val="auto"/>
          <w:sz w:val="32"/>
          <w:szCs w:val="32"/>
          <w:highlight w:val="none"/>
        </w:rPr>
        <w:t>小</w:t>
      </w:r>
      <w:r>
        <w:rPr>
          <w:rFonts w:hint="eastAsia" w:ascii="宋体" w:hAnsi="宋体"/>
          <w:b/>
          <w:color w:val="auto"/>
          <w:sz w:val="32"/>
          <w:szCs w:val="32"/>
          <w:highlight w:val="none"/>
          <w:lang w:val="en-GB"/>
        </w:rPr>
        <w:t>微</w:t>
      </w:r>
      <w:r>
        <w:rPr>
          <w:rFonts w:hint="eastAsia" w:ascii="宋体" w:hAnsi="宋体"/>
          <w:b/>
          <w:color w:val="auto"/>
          <w:sz w:val="32"/>
          <w:szCs w:val="32"/>
          <w:highlight w:val="none"/>
        </w:rPr>
        <w:t>企业声明函</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本公司郑重声明，根据《政府采购促进中小企业发展暂行办法》（财库[2011]181号）的规定，本公司为______（请填写：小型、微型）企业。即，本公司同时满足以下条件：</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auto"/>
          <w:spacing w:val="6"/>
          <w:sz w:val="24"/>
          <w:highlight w:val="none"/>
          <w:u w:val="dash"/>
        </w:rPr>
        <w:t>（此处填写从业人员和营业收入的具体数据）</w:t>
      </w:r>
      <w:r>
        <w:rPr>
          <w:rFonts w:hint="eastAsia" w:ascii="宋体" w:hAnsi="宋体"/>
          <w:color w:val="auto"/>
          <w:spacing w:val="6"/>
          <w:sz w:val="24"/>
          <w:highlight w:val="none"/>
        </w:rPr>
        <w:t>，为______（请填写：小型、微型）企业。</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2.本公司参加</w:t>
      </w:r>
      <w:r>
        <w:rPr>
          <w:rFonts w:hint="eastAsia" w:ascii="宋体" w:hAnsi="宋体"/>
          <w:color w:val="auto"/>
          <w:sz w:val="24"/>
          <w:highlight w:val="none"/>
        </w:rPr>
        <w:t>×××政府采购中心组织</w:t>
      </w:r>
      <w:r>
        <w:rPr>
          <w:rFonts w:hint="eastAsia" w:ascii="宋体" w:hAnsi="宋体"/>
          <w:color w:val="auto"/>
          <w:spacing w:val="6"/>
          <w:sz w:val="24"/>
          <w:highlight w:val="none"/>
        </w:rPr>
        <w:t>的采购项目（项目编号： ）采购活动提供本企业制造的货物，由本企业承担工程、提供服务，或者提供其他______（请填写：小型、微型）企业制造的货物。本条所称货物不包括使用大型企业注册商标的货物。</w:t>
      </w:r>
    </w:p>
    <w:p>
      <w:pPr>
        <w:pStyle w:val="51"/>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pStyle w:val="51"/>
        <w:spacing w:line="360" w:lineRule="auto"/>
        <w:ind w:firstLine="504" w:firstLineChars="200"/>
        <w:rPr>
          <w:rFonts w:ascii="宋体" w:hAnsi="宋体"/>
          <w:color w:val="auto"/>
          <w:spacing w:val="6"/>
          <w:sz w:val="24"/>
          <w:highlight w:val="none"/>
        </w:rPr>
      </w:pPr>
    </w:p>
    <w:p>
      <w:pPr>
        <w:pStyle w:val="51"/>
        <w:spacing w:line="360" w:lineRule="auto"/>
        <w:ind w:left="4253" w:leftChars="2025"/>
        <w:rPr>
          <w:rFonts w:ascii="宋体" w:hAnsi="宋体"/>
          <w:color w:val="auto"/>
          <w:sz w:val="24"/>
          <w:highlight w:val="none"/>
        </w:rPr>
      </w:pPr>
      <w:r>
        <w:rPr>
          <w:rFonts w:hint="eastAsia" w:ascii="宋体" w:hAnsi="宋体"/>
          <w:color w:val="auto"/>
          <w:sz w:val="24"/>
          <w:highlight w:val="none"/>
        </w:rPr>
        <w:t>投标人名称（盖章）：</w:t>
      </w:r>
    </w:p>
    <w:p>
      <w:pPr>
        <w:pStyle w:val="51"/>
        <w:spacing w:line="360" w:lineRule="auto"/>
        <w:ind w:left="4253" w:leftChars="2025" w:right="360"/>
        <w:rPr>
          <w:rFonts w:ascii="宋体" w:hAnsi="宋体"/>
          <w:color w:val="auto"/>
          <w:spacing w:val="6"/>
          <w:sz w:val="24"/>
          <w:highlight w:val="none"/>
        </w:rPr>
      </w:pPr>
      <w:r>
        <w:rPr>
          <w:rFonts w:hint="eastAsia" w:ascii="宋体" w:hAnsi="宋体"/>
          <w:color w:val="auto"/>
          <w:sz w:val="24"/>
          <w:highlight w:val="none"/>
        </w:rPr>
        <w:t xml:space="preserve">日期： </w:t>
      </w:r>
      <w:r>
        <w:rPr>
          <w:rFonts w:hint="eastAsia" w:ascii="宋体" w:hAnsi="宋体" w:cstheme="minorBidi"/>
          <w:color w:val="auto"/>
          <w:sz w:val="24"/>
          <w:highlight w:val="none"/>
        </w:rPr>
        <w:t xml:space="preserve">    </w:t>
      </w:r>
      <w:r>
        <w:rPr>
          <w:rFonts w:hint="eastAsia" w:ascii="宋体" w:hAnsi="宋体" w:cs="Arial"/>
          <w:color w:val="auto"/>
          <w:sz w:val="24"/>
          <w:highlight w:val="none"/>
        </w:rPr>
        <w:t>年</w:t>
      </w:r>
      <w:r>
        <w:rPr>
          <w:rFonts w:hint="eastAsia" w:ascii="宋体" w:hAnsi="宋体"/>
          <w:color w:val="auto"/>
          <w:sz w:val="24"/>
          <w:highlight w:val="none"/>
        </w:rPr>
        <w:t xml:space="preserve"> </w:t>
      </w:r>
      <w:r>
        <w:rPr>
          <w:rFonts w:hint="eastAsia" w:ascii="宋体" w:hAnsi="宋体" w:cstheme="minorBidi"/>
          <w:color w:val="auto"/>
          <w:sz w:val="24"/>
          <w:highlight w:val="none"/>
        </w:rPr>
        <w:t xml:space="preserve">    </w:t>
      </w:r>
      <w:r>
        <w:rPr>
          <w:rFonts w:hint="eastAsia" w:ascii="宋体" w:hAnsi="宋体" w:cs="Arial"/>
          <w:color w:val="auto"/>
          <w:sz w:val="24"/>
          <w:highlight w:val="none"/>
        </w:rPr>
        <w:t>月</w:t>
      </w:r>
      <w:r>
        <w:rPr>
          <w:rFonts w:hint="eastAsia" w:ascii="宋体" w:hAnsi="宋体"/>
          <w:color w:val="auto"/>
          <w:sz w:val="24"/>
          <w:highlight w:val="none"/>
        </w:rPr>
        <w:t xml:space="preserve"> </w:t>
      </w:r>
      <w:r>
        <w:rPr>
          <w:rFonts w:hint="eastAsia" w:ascii="宋体" w:hAnsi="宋体" w:cstheme="minorBidi"/>
          <w:color w:val="auto"/>
          <w:sz w:val="24"/>
          <w:highlight w:val="none"/>
        </w:rPr>
        <w:t xml:space="preserve">    </w:t>
      </w:r>
      <w:r>
        <w:rPr>
          <w:rFonts w:hint="eastAsia" w:ascii="宋体" w:hAnsi="宋体" w:cs="Arial"/>
          <w:color w:val="auto"/>
          <w:sz w:val="24"/>
          <w:highlight w:val="none"/>
        </w:rPr>
        <w:t>日</w:t>
      </w:r>
    </w:p>
    <w:p>
      <w:pPr>
        <w:pStyle w:val="51"/>
        <w:spacing w:line="360" w:lineRule="auto"/>
        <w:rPr>
          <w:rFonts w:ascii="宋体" w:hAnsi="宋体"/>
          <w:color w:val="auto"/>
          <w:sz w:val="24"/>
          <w:highlight w:val="none"/>
        </w:rPr>
      </w:pPr>
    </w:p>
    <w:p>
      <w:pPr>
        <w:spacing w:line="360" w:lineRule="auto"/>
        <w:ind w:right="-110"/>
        <w:jc w:val="center"/>
        <w:rPr>
          <w:rFonts w:ascii="宋体" w:hAnsi="宋体" w:cs="宋体"/>
          <w:b/>
          <w:color w:val="auto"/>
          <w:sz w:val="24"/>
          <w:highlight w:val="none"/>
        </w:rPr>
      </w:pPr>
      <w:r>
        <w:rPr>
          <w:rFonts w:hint="eastAsia" w:ascii="宋体" w:hAnsi="宋体" w:cs="宋体"/>
          <w:b/>
          <w:color w:val="auto"/>
          <w:sz w:val="24"/>
          <w:highlight w:val="none"/>
        </w:rPr>
        <w:t>“国家企业信用信息公示系统---小微企业名录”页面查询结果</w:t>
      </w:r>
    </w:p>
    <w:p>
      <w:pPr>
        <w:spacing w:line="360" w:lineRule="auto"/>
        <w:ind w:right="-110"/>
        <w:jc w:val="center"/>
        <w:rPr>
          <w:rFonts w:ascii="宋体" w:hAnsi="宋体" w:cs="宋体"/>
          <w:b/>
          <w:color w:val="auto"/>
          <w:sz w:val="24"/>
          <w:highlight w:val="none"/>
        </w:rPr>
      </w:pPr>
      <w:r>
        <w:rPr>
          <w:rFonts w:hint="eastAsia" w:ascii="宋体" w:hAnsi="宋体" w:cs="宋体"/>
          <w:b/>
          <w:color w:val="auto"/>
          <w:sz w:val="24"/>
          <w:highlight w:val="none"/>
        </w:rPr>
        <w:t>参考格式</w:t>
      </w:r>
    </w:p>
    <w:p>
      <w:pPr>
        <w:spacing w:before="312" w:beforeLines="100" w:line="440" w:lineRule="atLeast"/>
        <w:ind w:firstLine="420" w:firstLineChars="200"/>
        <w:jc w:val="left"/>
        <w:rPr>
          <w:rFonts w:ascii="宋体" w:hAnsi="宋体" w:cs="宋体"/>
          <w:color w:val="auto"/>
          <w:sz w:val="22"/>
          <w:szCs w:val="22"/>
          <w:highlight w:val="none"/>
        </w:rPr>
      </w:pPr>
      <w:r>
        <w:rPr>
          <w:color w:val="auto"/>
          <w:highlight w:val="none"/>
        </w:rPr>
        <w:drawing>
          <wp:inline distT="0" distB="0" distL="114300" distR="114300">
            <wp:extent cx="4878705" cy="1543050"/>
            <wp:effectExtent l="0" t="0" r="1714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878705" cy="1543050"/>
                    </a:xfrm>
                    <a:prstGeom prst="rect">
                      <a:avLst/>
                    </a:prstGeom>
                    <a:noFill/>
                    <a:ln>
                      <a:noFill/>
                    </a:ln>
                  </pic:spPr>
                </pic:pic>
              </a:graphicData>
            </a:graphic>
          </wp:inline>
        </w:drawing>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投标人名称（盖章）：</w:t>
      </w:r>
    </w:p>
    <w:p>
      <w:pPr>
        <w:spacing w:line="440" w:lineRule="atLeast"/>
        <w:rPr>
          <w:rFonts w:ascii="宋体" w:hAnsi="宋体" w:cs="宋体"/>
          <w:color w:val="auto"/>
          <w:sz w:val="22"/>
          <w:szCs w:val="22"/>
          <w:highlight w:val="none"/>
        </w:rPr>
      </w:pPr>
      <w:r>
        <w:rPr>
          <w:rFonts w:hint="eastAsia" w:ascii="宋体" w:hAnsi="宋体" w:cs="宋体"/>
          <w:color w:val="auto"/>
          <w:sz w:val="22"/>
          <w:szCs w:val="22"/>
          <w:highlight w:val="none"/>
        </w:rPr>
        <w:t>日期：     年     月     日</w:t>
      </w:r>
    </w:p>
    <w:p>
      <w:pPr>
        <w:pStyle w:val="13"/>
        <w:spacing w:line="360" w:lineRule="auto"/>
        <w:jc w:val="center"/>
        <w:outlineLvl w:val="1"/>
        <w:rPr>
          <w:rFonts w:hAnsi="宋体"/>
          <w:b/>
          <w:color w:val="auto"/>
          <w:sz w:val="32"/>
          <w:szCs w:val="32"/>
          <w:highlight w:val="none"/>
          <w:lang w:val="en-GB"/>
        </w:rPr>
      </w:pPr>
    </w:p>
    <w:p>
      <w:pPr>
        <w:pStyle w:val="13"/>
        <w:spacing w:line="360" w:lineRule="auto"/>
        <w:jc w:val="center"/>
        <w:outlineLvl w:val="1"/>
        <w:rPr>
          <w:rFonts w:hAnsi="宋体"/>
          <w:b/>
          <w:color w:val="auto"/>
          <w:sz w:val="32"/>
          <w:szCs w:val="32"/>
          <w:highlight w:val="none"/>
          <w:lang w:val="en-GB"/>
        </w:rPr>
      </w:pPr>
    </w:p>
    <w:p>
      <w:pPr>
        <w:pStyle w:val="13"/>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auto"/>
          <w:spacing w:val="6"/>
          <w:sz w:val="24"/>
          <w:highlight w:val="none"/>
        </w:rPr>
      </w:pPr>
    </w:p>
    <w:p>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投标人名称（盖章）：</w:t>
      </w:r>
    </w:p>
    <w:p>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日期：     年     月     日</w:t>
      </w:r>
    </w:p>
    <w:p>
      <w:pPr>
        <w:pStyle w:val="51"/>
        <w:spacing w:line="360" w:lineRule="auto"/>
        <w:rPr>
          <w:rFonts w:ascii="宋体" w:hAnsi="宋体"/>
          <w:b/>
          <w:color w:val="auto"/>
          <w:sz w:val="28"/>
          <w:szCs w:val="28"/>
          <w:highlight w:val="none"/>
        </w:rPr>
      </w:pPr>
    </w:p>
    <w:p>
      <w:pPr>
        <w:pStyle w:val="51"/>
        <w:spacing w:line="360" w:lineRule="auto"/>
        <w:rPr>
          <w:rFonts w:ascii="宋体" w:hAnsi="宋体"/>
          <w:b/>
          <w:color w:val="auto"/>
          <w:sz w:val="28"/>
          <w:szCs w:val="28"/>
          <w:highlight w:val="none"/>
        </w:rPr>
      </w:pPr>
    </w:p>
    <w:p>
      <w:pPr>
        <w:pStyle w:val="51"/>
        <w:spacing w:line="360" w:lineRule="auto"/>
        <w:rPr>
          <w:rFonts w:ascii="宋体" w:hAnsi="宋体"/>
          <w:b/>
          <w:color w:val="auto"/>
          <w:sz w:val="28"/>
          <w:szCs w:val="28"/>
          <w:highlight w:val="none"/>
        </w:rPr>
      </w:pPr>
    </w:p>
    <w:p>
      <w:pPr>
        <w:pStyle w:val="51"/>
        <w:spacing w:line="360" w:lineRule="auto"/>
        <w:rPr>
          <w:rFonts w:ascii="宋体" w:hAnsi="宋体"/>
          <w:b/>
          <w:color w:val="auto"/>
          <w:sz w:val="28"/>
          <w:szCs w:val="28"/>
          <w:highlight w:val="none"/>
        </w:rPr>
      </w:pPr>
    </w:p>
    <w:p>
      <w:pPr>
        <w:pStyle w:val="51"/>
        <w:spacing w:line="360" w:lineRule="auto"/>
        <w:rPr>
          <w:rFonts w:ascii="宋体" w:hAnsi="宋体"/>
          <w:b/>
          <w:color w:val="auto"/>
          <w:sz w:val="28"/>
          <w:szCs w:val="28"/>
          <w:highlight w:val="none"/>
        </w:rPr>
      </w:pPr>
    </w:p>
    <w:p>
      <w:pPr>
        <w:pStyle w:val="51"/>
        <w:spacing w:line="360" w:lineRule="auto"/>
        <w:rPr>
          <w:rFonts w:ascii="宋体" w:hAnsi="宋体"/>
          <w:b/>
          <w:color w:val="auto"/>
          <w:sz w:val="28"/>
          <w:szCs w:val="28"/>
          <w:highlight w:val="none"/>
        </w:rPr>
      </w:pPr>
    </w:p>
    <w:p>
      <w:pPr>
        <w:pStyle w:val="51"/>
        <w:spacing w:line="360" w:lineRule="auto"/>
        <w:rPr>
          <w:rFonts w:ascii="宋体" w:hAnsi="宋体"/>
          <w:b/>
          <w:color w:val="auto"/>
          <w:sz w:val="28"/>
          <w:szCs w:val="28"/>
          <w:highlight w:val="none"/>
        </w:rPr>
      </w:pPr>
    </w:p>
    <w:p>
      <w:pPr>
        <w:pStyle w:val="51"/>
        <w:spacing w:line="360" w:lineRule="auto"/>
        <w:rPr>
          <w:rFonts w:ascii="宋体" w:hAnsi="宋体"/>
          <w:b/>
          <w:color w:val="auto"/>
          <w:sz w:val="28"/>
          <w:szCs w:val="28"/>
          <w:highlight w:val="none"/>
        </w:rPr>
      </w:pPr>
    </w:p>
    <w:p>
      <w:pPr>
        <w:pStyle w:val="51"/>
        <w:spacing w:line="360" w:lineRule="auto"/>
        <w:rPr>
          <w:rFonts w:ascii="宋体" w:hAnsi="宋体"/>
          <w:b/>
          <w:color w:val="auto"/>
          <w:sz w:val="28"/>
          <w:szCs w:val="28"/>
          <w:highlight w:val="none"/>
        </w:rPr>
      </w:pPr>
    </w:p>
    <w:p>
      <w:pPr>
        <w:pStyle w:val="51"/>
        <w:spacing w:line="360" w:lineRule="auto"/>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rPr>
        <w:br w:type="page"/>
      </w:r>
    </w:p>
    <w:p>
      <w:pPr>
        <w:pStyle w:val="51"/>
        <w:spacing w:line="360" w:lineRule="auto"/>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附件1</w:t>
      </w:r>
      <w:r>
        <w:rPr>
          <w:rFonts w:hint="eastAsia" w:ascii="宋体" w:hAnsi="宋体"/>
          <w:b/>
          <w:color w:val="auto"/>
          <w:sz w:val="28"/>
          <w:szCs w:val="28"/>
          <w:highlight w:val="none"/>
          <w:lang w:val="en-US" w:eastAsia="zh-CN"/>
        </w:rPr>
        <w:t>7</w:t>
      </w:r>
    </w:p>
    <w:p>
      <w:pPr>
        <w:pStyle w:val="52"/>
        <w:spacing w:line="360" w:lineRule="auto"/>
        <w:rPr>
          <w:color w:val="auto"/>
          <w:highlight w:val="none"/>
        </w:rPr>
      </w:pPr>
    </w:p>
    <w:p>
      <w:pPr>
        <w:pStyle w:val="49"/>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产品适用政府采购政策情况表</w:t>
      </w:r>
    </w:p>
    <w:p>
      <w:pPr>
        <w:pStyle w:val="49"/>
        <w:spacing w:line="360" w:lineRule="auto"/>
        <w:jc w:val="center"/>
        <w:rPr>
          <w:rFonts w:ascii="宋体" w:hAnsi="宋体"/>
          <w:b/>
          <w:color w:val="auto"/>
          <w:sz w:val="32"/>
          <w:szCs w:val="32"/>
          <w:highlight w:val="none"/>
          <w:lang w:val="en-GB"/>
        </w:rPr>
      </w:pPr>
    </w:p>
    <w:tbl>
      <w:tblPr>
        <w:tblStyle w:val="22"/>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800"/>
        <w:gridCol w:w="287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886" w:type="dxa"/>
            <w:vMerge w:val="restart"/>
            <w:vAlign w:val="center"/>
          </w:tcPr>
          <w:p>
            <w:pPr>
              <w:pStyle w:val="49"/>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小微企业扶持政策</w:t>
            </w:r>
          </w:p>
        </w:tc>
        <w:tc>
          <w:tcPr>
            <w:tcW w:w="7093" w:type="dxa"/>
            <w:gridSpan w:val="3"/>
            <w:vAlign w:val="center"/>
          </w:tcPr>
          <w:p>
            <w:pPr>
              <w:pStyle w:val="49"/>
              <w:tabs>
                <w:tab w:val="left" w:pos="1260"/>
              </w:tabs>
              <w:spacing w:line="360" w:lineRule="auto"/>
              <w:rPr>
                <w:rFonts w:ascii="宋体" w:hAnsi="宋体"/>
                <w:color w:val="auto"/>
                <w:sz w:val="24"/>
                <w:highlight w:val="none"/>
              </w:rPr>
            </w:pPr>
            <w:r>
              <w:rPr>
                <w:rFonts w:hint="eastAsia" w:ascii="宋体" w:hAnsi="宋体"/>
                <w:b/>
                <w:bCs/>
                <w:color w:val="auto"/>
                <w:sz w:val="24"/>
                <w:highlight w:val="none"/>
              </w:rPr>
              <w:t>小型、微型企业投标且所投产品（指货物、工程、服务）由本企业制造，或者所投产品（仅指货物）含有其他小型、微型企业制造的，应</w:t>
            </w:r>
            <w:r>
              <w:rPr>
                <w:rFonts w:hint="eastAsia" w:ascii="宋体" w:hAnsi="宋体"/>
                <w:b/>
                <w:bCs/>
                <w:color w:val="auto"/>
                <w:sz w:val="24"/>
                <w:highlight w:val="none"/>
                <w:lang w:val="en-GB"/>
              </w:rPr>
              <w:t>按要求列出具体产品与金额。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49"/>
              <w:tabs>
                <w:tab w:val="left" w:pos="1260"/>
              </w:tabs>
              <w:jc w:val="center"/>
              <w:rPr>
                <w:rFonts w:ascii="宋体" w:hAnsi="宋体"/>
                <w:color w:val="auto"/>
                <w:sz w:val="24"/>
                <w:highlight w:val="none"/>
                <w:lang w:val="en-GB"/>
              </w:rPr>
            </w:pPr>
          </w:p>
        </w:tc>
        <w:tc>
          <w:tcPr>
            <w:tcW w:w="2800" w:type="dxa"/>
            <w:vAlign w:val="center"/>
          </w:tcPr>
          <w:p>
            <w:pPr>
              <w:pStyle w:val="49"/>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产品名称（品牌、型号）</w:t>
            </w:r>
          </w:p>
        </w:tc>
        <w:tc>
          <w:tcPr>
            <w:tcW w:w="2874" w:type="dxa"/>
            <w:vAlign w:val="center"/>
          </w:tcPr>
          <w:p>
            <w:pPr>
              <w:pStyle w:val="49"/>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制造企业名称</w:t>
            </w:r>
          </w:p>
        </w:tc>
        <w:tc>
          <w:tcPr>
            <w:tcW w:w="1419" w:type="dxa"/>
            <w:vAlign w:val="center"/>
          </w:tcPr>
          <w:p>
            <w:pPr>
              <w:pStyle w:val="49"/>
              <w:tabs>
                <w:tab w:val="left" w:pos="1260"/>
              </w:tabs>
              <w:jc w:val="center"/>
              <w:rPr>
                <w:rFonts w:ascii="宋体" w:hAnsi="宋体"/>
                <w:color w:val="auto"/>
                <w:sz w:val="24"/>
                <w:highlight w:val="none"/>
                <w:lang w:val="en-GB"/>
              </w:rPr>
            </w:pPr>
            <w:r>
              <w:rPr>
                <w:rFonts w:hint="eastAsia" w:ascii="宋体" w:hAnsi="宋体"/>
                <w:color w:val="auto"/>
                <w:sz w:val="24"/>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49"/>
              <w:tabs>
                <w:tab w:val="left" w:pos="1260"/>
              </w:tabs>
              <w:jc w:val="center"/>
              <w:rPr>
                <w:rFonts w:ascii="宋体" w:hAnsi="宋体"/>
                <w:color w:val="auto"/>
                <w:sz w:val="24"/>
                <w:highlight w:val="none"/>
                <w:lang w:val="en-GB"/>
              </w:rPr>
            </w:pPr>
          </w:p>
        </w:tc>
        <w:tc>
          <w:tcPr>
            <w:tcW w:w="2800" w:type="dxa"/>
            <w:vAlign w:val="center"/>
          </w:tcPr>
          <w:p>
            <w:pPr>
              <w:pStyle w:val="49"/>
              <w:tabs>
                <w:tab w:val="left" w:pos="1260"/>
              </w:tabs>
              <w:jc w:val="center"/>
              <w:rPr>
                <w:rFonts w:ascii="宋体" w:hAnsi="宋体"/>
                <w:color w:val="auto"/>
                <w:sz w:val="24"/>
                <w:highlight w:val="none"/>
                <w:lang w:val="en-GB"/>
              </w:rPr>
            </w:pPr>
          </w:p>
        </w:tc>
        <w:tc>
          <w:tcPr>
            <w:tcW w:w="2874" w:type="dxa"/>
            <w:vAlign w:val="center"/>
          </w:tcPr>
          <w:p>
            <w:pPr>
              <w:pStyle w:val="49"/>
              <w:tabs>
                <w:tab w:val="left" w:pos="1260"/>
              </w:tabs>
              <w:jc w:val="center"/>
              <w:rPr>
                <w:rFonts w:ascii="宋体" w:hAnsi="宋体"/>
                <w:color w:val="auto"/>
                <w:sz w:val="24"/>
                <w:highlight w:val="none"/>
                <w:lang w:val="en-GB"/>
              </w:rPr>
            </w:pPr>
          </w:p>
        </w:tc>
        <w:tc>
          <w:tcPr>
            <w:tcW w:w="1419" w:type="dxa"/>
            <w:vAlign w:val="center"/>
          </w:tcPr>
          <w:p>
            <w:pPr>
              <w:pStyle w:val="49"/>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49"/>
              <w:tabs>
                <w:tab w:val="left" w:pos="1260"/>
              </w:tabs>
              <w:jc w:val="center"/>
              <w:rPr>
                <w:rFonts w:ascii="宋体" w:hAnsi="宋体"/>
                <w:color w:val="auto"/>
                <w:sz w:val="24"/>
                <w:highlight w:val="none"/>
                <w:lang w:val="en-GB"/>
              </w:rPr>
            </w:pPr>
          </w:p>
        </w:tc>
        <w:tc>
          <w:tcPr>
            <w:tcW w:w="2800" w:type="dxa"/>
            <w:vAlign w:val="center"/>
          </w:tcPr>
          <w:p>
            <w:pPr>
              <w:pStyle w:val="49"/>
              <w:tabs>
                <w:tab w:val="left" w:pos="1260"/>
              </w:tabs>
              <w:jc w:val="center"/>
              <w:rPr>
                <w:rFonts w:ascii="宋体" w:hAnsi="宋体"/>
                <w:color w:val="auto"/>
                <w:sz w:val="24"/>
                <w:highlight w:val="none"/>
                <w:lang w:val="en-GB"/>
              </w:rPr>
            </w:pPr>
          </w:p>
        </w:tc>
        <w:tc>
          <w:tcPr>
            <w:tcW w:w="2874" w:type="dxa"/>
            <w:vAlign w:val="center"/>
          </w:tcPr>
          <w:p>
            <w:pPr>
              <w:pStyle w:val="49"/>
              <w:tabs>
                <w:tab w:val="left" w:pos="1260"/>
              </w:tabs>
              <w:jc w:val="center"/>
              <w:rPr>
                <w:rFonts w:ascii="宋体" w:hAnsi="宋体"/>
                <w:color w:val="auto"/>
                <w:sz w:val="24"/>
                <w:highlight w:val="none"/>
                <w:lang w:val="en-GB"/>
              </w:rPr>
            </w:pPr>
          </w:p>
        </w:tc>
        <w:tc>
          <w:tcPr>
            <w:tcW w:w="1419" w:type="dxa"/>
            <w:vAlign w:val="center"/>
          </w:tcPr>
          <w:p>
            <w:pPr>
              <w:pStyle w:val="49"/>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6" w:type="dxa"/>
            <w:vMerge w:val="continue"/>
            <w:vAlign w:val="center"/>
          </w:tcPr>
          <w:p>
            <w:pPr>
              <w:pStyle w:val="49"/>
              <w:tabs>
                <w:tab w:val="left" w:pos="1260"/>
              </w:tabs>
              <w:jc w:val="center"/>
              <w:rPr>
                <w:rFonts w:ascii="宋体" w:hAnsi="宋体"/>
                <w:color w:val="auto"/>
                <w:sz w:val="24"/>
                <w:highlight w:val="none"/>
                <w:lang w:val="en-GB"/>
              </w:rPr>
            </w:pPr>
          </w:p>
        </w:tc>
        <w:tc>
          <w:tcPr>
            <w:tcW w:w="2800" w:type="dxa"/>
            <w:vAlign w:val="center"/>
          </w:tcPr>
          <w:p>
            <w:pPr>
              <w:pStyle w:val="49"/>
              <w:tabs>
                <w:tab w:val="left" w:pos="1260"/>
              </w:tabs>
              <w:jc w:val="center"/>
              <w:rPr>
                <w:rFonts w:ascii="宋体" w:hAnsi="宋体"/>
                <w:color w:val="auto"/>
                <w:sz w:val="24"/>
                <w:highlight w:val="none"/>
                <w:lang w:val="en-GB"/>
              </w:rPr>
            </w:pPr>
          </w:p>
        </w:tc>
        <w:tc>
          <w:tcPr>
            <w:tcW w:w="2874" w:type="dxa"/>
            <w:vAlign w:val="center"/>
          </w:tcPr>
          <w:p>
            <w:pPr>
              <w:pStyle w:val="49"/>
              <w:tabs>
                <w:tab w:val="left" w:pos="1260"/>
              </w:tabs>
              <w:jc w:val="center"/>
              <w:rPr>
                <w:rFonts w:ascii="宋体" w:hAnsi="宋体"/>
                <w:color w:val="auto"/>
                <w:sz w:val="24"/>
                <w:highlight w:val="none"/>
                <w:lang w:val="en-GB"/>
              </w:rPr>
            </w:pPr>
          </w:p>
        </w:tc>
        <w:tc>
          <w:tcPr>
            <w:tcW w:w="1419" w:type="dxa"/>
            <w:vAlign w:val="center"/>
          </w:tcPr>
          <w:p>
            <w:pPr>
              <w:pStyle w:val="49"/>
              <w:tabs>
                <w:tab w:val="left" w:pos="1260"/>
              </w:tabs>
              <w:jc w:val="center"/>
              <w:rPr>
                <w:rFonts w:ascii="宋体" w:hAnsi="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6" w:type="dxa"/>
            <w:vMerge w:val="continue"/>
            <w:vAlign w:val="center"/>
          </w:tcPr>
          <w:p>
            <w:pPr>
              <w:pStyle w:val="49"/>
              <w:tabs>
                <w:tab w:val="left" w:pos="1260"/>
              </w:tabs>
              <w:jc w:val="center"/>
              <w:rPr>
                <w:rFonts w:ascii="宋体" w:hAnsi="宋体"/>
                <w:color w:val="auto"/>
                <w:sz w:val="24"/>
                <w:highlight w:val="none"/>
                <w:lang w:val="en-GB"/>
              </w:rPr>
            </w:pPr>
          </w:p>
        </w:tc>
        <w:tc>
          <w:tcPr>
            <w:tcW w:w="5674" w:type="dxa"/>
            <w:gridSpan w:val="2"/>
            <w:vAlign w:val="center"/>
          </w:tcPr>
          <w:p>
            <w:pPr>
              <w:pStyle w:val="49"/>
              <w:tabs>
                <w:tab w:val="left" w:pos="1260"/>
              </w:tabs>
              <w:jc w:val="center"/>
              <w:rPr>
                <w:color w:val="auto"/>
                <w:highlight w:val="none"/>
              </w:rPr>
            </w:pPr>
            <w:r>
              <w:rPr>
                <w:rFonts w:hint="eastAsia" w:ascii="宋体" w:hAnsi="宋体"/>
                <w:color w:val="auto"/>
                <w:sz w:val="24"/>
                <w:highlight w:val="none"/>
              </w:rPr>
              <w:t>小型、微型企业产品</w:t>
            </w:r>
            <w:r>
              <w:rPr>
                <w:rFonts w:hint="eastAsia" w:ascii="宋体" w:hAnsi="宋体"/>
                <w:color w:val="auto"/>
                <w:sz w:val="24"/>
                <w:highlight w:val="none"/>
                <w:lang w:val="en-GB"/>
              </w:rPr>
              <w:t>金额合计（元）</w:t>
            </w:r>
          </w:p>
        </w:tc>
        <w:tc>
          <w:tcPr>
            <w:tcW w:w="1419" w:type="dxa"/>
            <w:vAlign w:val="center"/>
          </w:tcPr>
          <w:p>
            <w:pPr>
              <w:pStyle w:val="49"/>
              <w:tabs>
                <w:tab w:val="left" w:pos="1260"/>
              </w:tabs>
              <w:jc w:val="center"/>
              <w:rPr>
                <w:rFonts w:ascii="宋体" w:hAnsi="宋体"/>
                <w:color w:val="auto"/>
                <w:sz w:val="24"/>
                <w:highlight w:val="none"/>
                <w:lang w:val="en-GB"/>
              </w:rPr>
            </w:pPr>
          </w:p>
        </w:tc>
      </w:tr>
    </w:tbl>
    <w:p>
      <w:pPr>
        <w:pStyle w:val="49"/>
        <w:spacing w:line="360" w:lineRule="auto"/>
        <w:rPr>
          <w:rFonts w:ascii="宋体" w:hAnsi="宋体"/>
          <w:color w:val="auto"/>
          <w:szCs w:val="21"/>
          <w:highlight w:val="none"/>
          <w:lang w:val="en-GB"/>
        </w:rPr>
      </w:pPr>
    </w:p>
    <w:p>
      <w:pPr>
        <w:pStyle w:val="49"/>
        <w:spacing w:line="360" w:lineRule="auto"/>
        <w:rPr>
          <w:rFonts w:ascii="宋体" w:hAnsi="宋体"/>
          <w:color w:val="auto"/>
          <w:szCs w:val="21"/>
          <w:highlight w:val="none"/>
          <w:lang w:val="en-GB"/>
        </w:rPr>
      </w:pPr>
      <w:r>
        <w:rPr>
          <w:rFonts w:hint="eastAsia" w:ascii="宋体" w:hAnsi="宋体"/>
          <w:color w:val="auto"/>
          <w:szCs w:val="21"/>
          <w:highlight w:val="none"/>
          <w:lang w:val="en-GB"/>
        </w:rPr>
        <w:t>填报要求：</w:t>
      </w:r>
    </w:p>
    <w:p>
      <w:pPr>
        <w:pStyle w:val="49"/>
        <w:widowControl/>
        <w:numPr>
          <w:ilvl w:val="0"/>
          <w:numId w:val="12"/>
        </w:numPr>
        <w:spacing w:line="360" w:lineRule="auto"/>
        <w:ind w:right="84" w:rightChars="40"/>
        <w:jc w:val="left"/>
        <w:rPr>
          <w:rFonts w:ascii="宋体" w:hAnsi="宋体"/>
          <w:color w:val="auto"/>
          <w:szCs w:val="21"/>
          <w:highlight w:val="none"/>
        </w:rPr>
      </w:pPr>
      <w:r>
        <w:rPr>
          <w:rFonts w:hint="eastAsia" w:ascii="宋体" w:hAnsi="宋体"/>
          <w:color w:val="auto"/>
          <w:szCs w:val="21"/>
          <w:highlight w:val="none"/>
          <w:lang w:val="en-GB"/>
        </w:rPr>
        <w:t>本表的产品名称、规格型号和注册商标、金额要与《报价明细表》一致。</w:t>
      </w:r>
    </w:p>
    <w:p>
      <w:pPr>
        <w:pStyle w:val="49"/>
        <w:widowControl/>
        <w:numPr>
          <w:ilvl w:val="0"/>
          <w:numId w:val="12"/>
        </w:numPr>
        <w:spacing w:line="360" w:lineRule="auto"/>
        <w:ind w:right="84" w:rightChars="4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49"/>
        <w:widowControl/>
        <w:spacing w:line="360" w:lineRule="auto"/>
        <w:ind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rPr>
          <w:rFonts w:ascii="宋体" w:hAnsi="宋体"/>
          <w:color w:val="auto"/>
          <w:szCs w:val="21"/>
          <w:highlight w:val="none"/>
          <w:lang w:val="en-GB"/>
        </w:rPr>
      </w:pPr>
      <w:r>
        <w:rPr>
          <w:rFonts w:hint="eastAsia" w:ascii="宋体" w:hAnsi="宋体"/>
          <w:color w:val="auto"/>
          <w:szCs w:val="21"/>
          <w:highlight w:val="none"/>
          <w:lang w:val="en-GB"/>
        </w:rPr>
        <w:br w:type="page"/>
      </w:r>
    </w:p>
    <w:p>
      <w:pPr>
        <w:pStyle w:val="2"/>
        <w:tabs>
          <w:tab w:val="left" w:pos="2489"/>
        </w:tabs>
        <w:ind w:left="0" w:leftChars="0" w:firstLine="0" w:firstLineChars="0"/>
        <w:rPr>
          <w:color w:val="auto"/>
          <w:highlight w:val="none"/>
        </w:rPr>
      </w:pPr>
      <w:r>
        <w:rPr>
          <w:rFonts w:hint="eastAsia" w:ascii="宋体" w:hAnsi="宋体"/>
          <w:b/>
          <w:bCs/>
          <w:color w:val="auto"/>
          <w:sz w:val="28"/>
          <w:szCs w:val="28"/>
          <w:highlight w:val="none"/>
        </w:rPr>
        <w:t>附件1</w:t>
      </w:r>
      <w:r>
        <w:rPr>
          <w:rFonts w:hint="eastAsia" w:ascii="宋体" w:hAnsi="宋体"/>
          <w:b/>
          <w:bCs/>
          <w:color w:val="auto"/>
          <w:sz w:val="28"/>
          <w:szCs w:val="28"/>
          <w:highlight w:val="none"/>
          <w:lang w:val="en-US" w:eastAsia="zh-CN"/>
        </w:rPr>
        <w:t>8</w:t>
      </w:r>
      <w:r>
        <w:rPr>
          <w:rFonts w:hint="eastAsia" w:ascii="宋体" w:hAnsi="宋体"/>
          <w:b/>
          <w:bCs/>
          <w:color w:val="auto"/>
          <w:sz w:val="28"/>
          <w:szCs w:val="28"/>
          <w:highlight w:val="none"/>
        </w:rPr>
        <w:tab/>
      </w:r>
      <w:r>
        <w:rPr>
          <w:rFonts w:hint="eastAsia" w:ascii="宋体" w:hAnsi="宋体"/>
          <w:b/>
          <w:bCs/>
          <w:color w:val="auto"/>
          <w:sz w:val="28"/>
          <w:szCs w:val="28"/>
          <w:highlight w:val="none"/>
        </w:rPr>
        <w:t xml:space="preserve">          得分自查表</w:t>
      </w:r>
    </w:p>
    <w:tbl>
      <w:tblPr>
        <w:tblStyle w:val="22"/>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736"/>
        <w:gridCol w:w="6080"/>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9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2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评分项目</w:t>
            </w:r>
          </w:p>
        </w:tc>
        <w:tc>
          <w:tcPr>
            <w:tcW w:w="6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2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评  分  标  准  及  细  则</w:t>
            </w:r>
          </w:p>
        </w:tc>
        <w:tc>
          <w:tcPr>
            <w:tcW w:w="11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20" w:lineRule="auto"/>
              <w:jc w:val="center"/>
              <w:outlineLvl w:val="0"/>
              <w:rPr>
                <w:rFonts w:hint="eastAsia" w:asciiTheme="minorEastAsia" w:hAnsiTheme="minorEastAsia" w:eastAsiaTheme="minorEastAsia" w:cstheme="minorEastAsia"/>
                <w:b/>
                <w:bCs/>
                <w:color w:val="auto"/>
                <w:sz w:val="24"/>
                <w:szCs w:val="24"/>
                <w:highlight w:val="none"/>
              </w:rPr>
            </w:pPr>
            <w:r>
              <w:rPr>
                <w:rFonts w:hint="eastAsia" w:ascii="宋体" w:hAnsi="宋体" w:cs="宋体"/>
                <w:b/>
                <w:bCs/>
                <w:color w:val="auto"/>
                <w:kern w:val="0"/>
                <w:sz w:val="22"/>
                <w:szCs w:val="22"/>
                <w:highlight w:val="none"/>
              </w:rPr>
              <w:t>自查得分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w:t>
            </w:r>
          </w:p>
        </w:tc>
        <w:tc>
          <w:tcPr>
            <w:tcW w:w="73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供应商总体情况</w:t>
            </w:r>
          </w:p>
        </w:tc>
        <w:tc>
          <w:tcPr>
            <w:tcW w:w="6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color w:val="auto"/>
                <w:sz w:val="18"/>
                <w:szCs w:val="18"/>
                <w:highlight w:val="none"/>
              </w:rPr>
              <w:t>供应商具有信息安全管理体系符合标准证书ISO270001（认证范围：计算机信息系统集成，应用软件开发与运维服务相关的信息安全管理活动）的，得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分，具有ISO20000-1信息技术服务管理体系认证体系的，得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p>
          <w:p>
            <w:pPr>
              <w:widowControl w:val="0"/>
              <w:jc w:val="both"/>
              <w:outlineLvl w:val="0"/>
              <w:rPr>
                <w:rFonts w:hint="eastAsia"/>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lang w:eastAsia="zh-CN"/>
              </w:rPr>
              <w:t>注：</w:t>
            </w:r>
            <w:r>
              <w:rPr>
                <w:rFonts w:hint="eastAsia" w:asciiTheme="minorEastAsia" w:hAnsiTheme="minorEastAsia" w:eastAsiaTheme="minorEastAsia" w:cstheme="minorEastAsia"/>
                <w:b/>
                <w:bCs/>
                <w:color w:val="auto"/>
                <w:sz w:val="18"/>
                <w:szCs w:val="18"/>
                <w:highlight w:val="none"/>
              </w:rPr>
              <w:t>以上证明材料</w:t>
            </w:r>
            <w:r>
              <w:rPr>
                <w:rFonts w:hint="eastAsia" w:asciiTheme="minorEastAsia" w:hAnsiTheme="minorEastAsia" w:eastAsiaTheme="minorEastAsia" w:cstheme="minorEastAsia"/>
                <w:b/>
                <w:bCs/>
                <w:color w:val="auto"/>
                <w:sz w:val="18"/>
                <w:szCs w:val="18"/>
                <w:highlight w:val="none"/>
                <w:lang w:eastAsia="zh-CN"/>
              </w:rPr>
              <w:t>需提供相关证书原件的扫描件，未提供的，本项不得分。</w:t>
            </w:r>
          </w:p>
        </w:tc>
        <w:tc>
          <w:tcPr>
            <w:tcW w:w="11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6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2</w:t>
            </w:r>
          </w:p>
        </w:tc>
        <w:tc>
          <w:tcPr>
            <w:tcW w:w="736"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rPr>
            </w:pPr>
          </w:p>
        </w:tc>
        <w:tc>
          <w:tcPr>
            <w:tcW w:w="6080" w:type="dxa"/>
            <w:tcBorders>
              <w:top w:val="single" w:color="000000" w:sz="8" w:space="0"/>
              <w:left w:val="single" w:color="000000" w:sz="8" w:space="0"/>
              <w:bottom w:val="single" w:color="auto" w:sz="4"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①投标人具有ITSS信息技术服务运行维护标准符合性证书，得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p>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②具有有效的软件企业认证证书和CMMI五级及以上认证证书的，得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p>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rPr>
              <w:t>注：以上证明材料需提供相关证书原件的扫描件，未提供的，本项不得分。</w:t>
            </w:r>
          </w:p>
        </w:tc>
        <w:tc>
          <w:tcPr>
            <w:tcW w:w="11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6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3</w:t>
            </w:r>
          </w:p>
        </w:tc>
        <w:tc>
          <w:tcPr>
            <w:tcW w:w="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供应商业绩</w:t>
            </w:r>
          </w:p>
        </w:tc>
        <w:tc>
          <w:tcPr>
            <w:tcW w:w="6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供应商自2016年1月1日以来</w:t>
            </w:r>
            <w:r>
              <w:rPr>
                <w:rFonts w:hint="eastAsia" w:asciiTheme="minorEastAsia" w:hAnsiTheme="minorEastAsia" w:eastAsiaTheme="minorEastAsia" w:cstheme="minorEastAsia"/>
                <w:color w:val="auto"/>
                <w:sz w:val="18"/>
                <w:szCs w:val="18"/>
                <w:highlight w:val="none"/>
                <w:lang w:eastAsia="zh-CN"/>
              </w:rPr>
              <w:t>（时间以合同签订的时间为准）</w:t>
            </w:r>
            <w:r>
              <w:rPr>
                <w:rFonts w:hint="eastAsia" w:asciiTheme="minorEastAsia" w:hAnsiTheme="minorEastAsia" w:eastAsiaTheme="minorEastAsia" w:cstheme="minorEastAsia"/>
                <w:color w:val="auto"/>
                <w:sz w:val="18"/>
                <w:szCs w:val="18"/>
                <w:highlight w:val="none"/>
              </w:rPr>
              <w:t>：</w:t>
            </w:r>
          </w:p>
          <w:p>
            <w:pPr>
              <w:pStyle w:val="99"/>
              <w:widowControl w:val="0"/>
              <w:numPr>
                <w:ilvl w:val="0"/>
                <w:numId w:val="0"/>
              </w:numPr>
              <w:ind w:leftChars="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具有水资源标准化管理平台、水资源综合管理平台</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水资源一张图管理平台建设业绩的</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每类得2分，最多得6分</w:t>
            </w:r>
            <w:r>
              <w:rPr>
                <w:rFonts w:hint="eastAsia" w:asciiTheme="minorEastAsia" w:hAnsiTheme="minorEastAsia" w:eastAsiaTheme="minorEastAsia" w:cstheme="minorEastAsia"/>
                <w:color w:val="auto"/>
                <w:sz w:val="18"/>
                <w:szCs w:val="18"/>
                <w:highlight w:val="none"/>
                <w:lang w:eastAsia="zh-CN"/>
              </w:rPr>
              <w:t>。</w:t>
            </w:r>
          </w:p>
          <w:p>
            <w:pPr>
              <w:widowControl w:val="0"/>
              <w:jc w:val="both"/>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rPr>
              <w:t>注：以上证明材料须同时提供合同和中标通知书原件的扫描件，否则不得分</w:t>
            </w:r>
            <w:r>
              <w:rPr>
                <w:rFonts w:hint="eastAsia" w:asciiTheme="minorEastAsia" w:hAnsiTheme="minorEastAsia" w:eastAsiaTheme="minorEastAsia" w:cstheme="minorEastAsia"/>
                <w:b/>
                <w:bCs/>
                <w:color w:val="auto"/>
                <w:sz w:val="18"/>
                <w:szCs w:val="18"/>
                <w:highlight w:val="none"/>
                <w:lang w:eastAsia="zh-CN"/>
              </w:rPr>
              <w:t>。</w:t>
            </w:r>
          </w:p>
        </w:tc>
        <w:tc>
          <w:tcPr>
            <w:tcW w:w="11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66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4</w:t>
            </w:r>
          </w:p>
        </w:tc>
        <w:tc>
          <w:tcPr>
            <w:tcW w:w="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企业实力</w:t>
            </w:r>
          </w:p>
        </w:tc>
        <w:tc>
          <w:tcPr>
            <w:tcW w:w="6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9"/>
              <w:widowControl w:val="0"/>
              <w:numPr>
                <w:ilvl w:val="0"/>
                <w:numId w:val="0"/>
              </w:numPr>
              <w:ind w:leftChars="0"/>
              <w:jc w:val="both"/>
              <w:outlineLvl w:val="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color w:val="auto"/>
                <w:kern w:val="2"/>
                <w:sz w:val="18"/>
                <w:szCs w:val="18"/>
                <w:highlight w:val="none"/>
                <w:lang w:val="en-US" w:eastAsia="zh-CN" w:bidi="ar-SA"/>
              </w:rPr>
              <w:t>供应商具有水资源标准化管理平台、水利分布式采集系统数据通讯服务软件、水利相关管理一张图系统计算机软件著作权登记证书，每个得1分，最多得3分。</w:t>
            </w:r>
          </w:p>
          <w:p>
            <w:pPr>
              <w:pStyle w:val="99"/>
              <w:widowControl w:val="0"/>
              <w:numPr>
                <w:ilvl w:val="0"/>
                <w:numId w:val="0"/>
              </w:numPr>
              <w:ind w:left="0" w:leftChars="0" w:firstLine="0" w:firstLineChars="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rPr>
              <w:t>注：以上证明材料需提供相关证书原件的扫描件，未提供的，本项不得分。</w:t>
            </w:r>
          </w:p>
        </w:tc>
        <w:tc>
          <w:tcPr>
            <w:tcW w:w="11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1" w:hRule="atLeast"/>
          <w:jc w:val="center"/>
        </w:trPr>
        <w:tc>
          <w:tcPr>
            <w:tcW w:w="66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5</w:t>
            </w:r>
          </w:p>
        </w:tc>
        <w:tc>
          <w:tcPr>
            <w:tcW w:w="7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拟派项目负责人资历情况</w:t>
            </w:r>
          </w:p>
        </w:tc>
        <w:tc>
          <w:tcPr>
            <w:tcW w:w="6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①针对本项目拟派的项目负责人具有水利信息及自动化专业高级及以上专业技术职称的得3分，同时具有注册咨询工程师（水利水电专业）的得1分，最多得4分。</w:t>
            </w:r>
          </w:p>
          <w:p>
            <w:pPr>
              <w:pStyle w:val="21"/>
              <w:ind w:left="0" w:leftChars="0" w:firstLine="0" w:firstLineChars="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注：以上证明材料需提供相关证书原件的扫描件，未提供的不得分。</w:t>
            </w:r>
          </w:p>
          <w:p>
            <w:pPr>
              <w:pStyle w:val="21"/>
              <w:ind w:left="0" w:leftChars="0" w:firstLine="0" w:firstLineChars="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②已主持完成水利信息化技术咨询类、平台建设类项目的，每类得2分，最多得4分。</w:t>
            </w:r>
          </w:p>
          <w:p>
            <w:pPr>
              <w:widowControl w:val="0"/>
              <w:jc w:val="both"/>
              <w:outlineLvl w:val="0"/>
              <w:rPr>
                <w:rFonts w:hint="eastAsia" w:asciiTheme="minorEastAsia" w:hAnsiTheme="minorEastAsia" w:eastAsiaTheme="minorEastAsia" w:cstheme="minorEastAsia"/>
                <w:b/>
                <w:bCs/>
                <w:color w:val="auto"/>
                <w:sz w:val="18"/>
                <w:szCs w:val="18"/>
                <w:highlight w:val="none"/>
              </w:rPr>
            </w:pPr>
            <w:r>
              <w:rPr>
                <w:rFonts w:hint="eastAsia" w:asciiTheme="minorEastAsia" w:hAnsiTheme="minorEastAsia" w:eastAsiaTheme="minorEastAsia" w:cstheme="minorEastAsia"/>
                <w:b/>
                <w:bCs/>
                <w:color w:val="auto"/>
                <w:sz w:val="18"/>
                <w:szCs w:val="18"/>
                <w:highlight w:val="none"/>
              </w:rPr>
              <w:t>注：以上证明材料须同时</w:t>
            </w:r>
            <w:r>
              <w:rPr>
                <w:rFonts w:hint="eastAsia" w:asciiTheme="minorEastAsia" w:hAnsiTheme="minorEastAsia" w:eastAsiaTheme="minorEastAsia" w:cstheme="minorEastAsia"/>
                <w:b/>
                <w:bCs/>
                <w:color w:val="auto"/>
                <w:sz w:val="18"/>
                <w:szCs w:val="18"/>
                <w:highlight w:val="none"/>
                <w:lang w:eastAsia="zh-CN"/>
              </w:rPr>
              <w:t>提供</w:t>
            </w:r>
            <w:r>
              <w:rPr>
                <w:rFonts w:hint="eastAsia" w:asciiTheme="minorEastAsia" w:hAnsiTheme="minorEastAsia" w:eastAsiaTheme="minorEastAsia" w:cstheme="minorEastAsia"/>
                <w:b/>
                <w:bCs/>
                <w:color w:val="auto"/>
                <w:sz w:val="18"/>
                <w:szCs w:val="18"/>
                <w:highlight w:val="none"/>
              </w:rPr>
              <w:t>合同和中标通知书原件的扫描件，否则不得分</w:t>
            </w:r>
            <w:r>
              <w:rPr>
                <w:rFonts w:hint="eastAsia" w:asciiTheme="minorEastAsia" w:hAnsiTheme="minorEastAsia" w:eastAsiaTheme="minorEastAsia" w:cstheme="minorEastAsia"/>
                <w:b/>
                <w:bCs/>
                <w:color w:val="auto"/>
                <w:sz w:val="18"/>
                <w:szCs w:val="18"/>
                <w:highlight w:val="none"/>
                <w:lang w:eastAsia="zh-CN"/>
              </w:rPr>
              <w:t>。</w:t>
            </w:r>
            <w:r>
              <w:rPr>
                <w:rFonts w:hint="eastAsia" w:asciiTheme="minorEastAsia" w:hAnsiTheme="minorEastAsia" w:eastAsiaTheme="minorEastAsia" w:cstheme="minorEastAsia"/>
                <w:b w:val="0"/>
                <w:bCs w:val="0"/>
                <w:color w:val="auto"/>
                <w:sz w:val="18"/>
                <w:szCs w:val="18"/>
                <w:highlight w:val="none"/>
                <w:lang w:eastAsia="zh-CN"/>
              </w:rPr>
              <w:t>（</w:t>
            </w:r>
            <w:r>
              <w:rPr>
                <w:rFonts w:hint="eastAsia" w:asciiTheme="minorEastAsia" w:hAnsiTheme="minorEastAsia" w:eastAsiaTheme="minorEastAsia" w:cstheme="minorEastAsia"/>
                <w:b w:val="0"/>
                <w:bCs w:val="0"/>
                <w:color w:val="auto"/>
                <w:kern w:val="2"/>
                <w:sz w:val="18"/>
                <w:szCs w:val="18"/>
                <w:highlight w:val="none"/>
                <w:lang w:val="en-US" w:eastAsia="zh-CN" w:bidi="ar-SA"/>
              </w:rPr>
              <w:t>如提供的证明材料无法证明为该拟派项目负责人业绩的，还应附业主证明其为该拟派项目负责人业绩的材料原件的扫描件。</w:t>
            </w:r>
            <w:r>
              <w:rPr>
                <w:rFonts w:hint="eastAsia" w:asciiTheme="minorEastAsia" w:hAnsiTheme="minorEastAsia" w:eastAsiaTheme="minorEastAsia" w:cstheme="minorEastAsia"/>
                <w:b w:val="0"/>
                <w:bCs w:val="0"/>
                <w:color w:val="auto"/>
                <w:sz w:val="18"/>
                <w:szCs w:val="18"/>
                <w:highlight w:val="none"/>
                <w:lang w:eastAsia="zh-CN"/>
              </w:rPr>
              <w:t>）</w:t>
            </w:r>
          </w:p>
        </w:tc>
        <w:tc>
          <w:tcPr>
            <w:tcW w:w="11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662" w:type="dxa"/>
            <w:vMerge w:val="restart"/>
            <w:tcBorders>
              <w:top w:val="single" w:color="000000" w:sz="8" w:space="0"/>
              <w:left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6</w:t>
            </w:r>
          </w:p>
        </w:tc>
        <w:tc>
          <w:tcPr>
            <w:tcW w:w="736"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本项目拟投入技术负责人</w:t>
            </w:r>
            <w:r>
              <w:rPr>
                <w:rFonts w:hint="eastAsia" w:asciiTheme="minorEastAsia" w:hAnsiTheme="minorEastAsia" w:eastAsiaTheme="minorEastAsia" w:cstheme="minorEastAsia"/>
                <w:color w:val="auto"/>
                <w:sz w:val="18"/>
                <w:szCs w:val="18"/>
                <w:highlight w:val="none"/>
                <w:lang w:eastAsia="zh-CN"/>
              </w:rPr>
              <w:t>和</w:t>
            </w:r>
            <w:r>
              <w:rPr>
                <w:rFonts w:hint="eastAsia" w:asciiTheme="minorEastAsia" w:hAnsiTheme="minorEastAsia" w:eastAsiaTheme="minorEastAsia" w:cstheme="minorEastAsia"/>
                <w:color w:val="auto"/>
                <w:sz w:val="18"/>
                <w:szCs w:val="18"/>
                <w:highlight w:val="none"/>
              </w:rPr>
              <w:t>技术人员</w:t>
            </w:r>
          </w:p>
        </w:tc>
        <w:tc>
          <w:tcPr>
            <w:tcW w:w="6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①技术负责人具有</w:t>
            </w:r>
            <w:r>
              <w:rPr>
                <w:rFonts w:hint="eastAsia" w:asciiTheme="minorEastAsia" w:hAnsiTheme="minorEastAsia" w:eastAsiaTheme="minorEastAsia" w:cstheme="minorEastAsia"/>
                <w:color w:val="auto"/>
                <w:sz w:val="18"/>
                <w:szCs w:val="18"/>
                <w:highlight w:val="none"/>
                <w:lang w:eastAsia="zh-CN"/>
              </w:rPr>
              <w:t>水利类</w:t>
            </w:r>
            <w:r>
              <w:rPr>
                <w:rFonts w:hint="eastAsia" w:asciiTheme="minorEastAsia" w:hAnsiTheme="minorEastAsia" w:eastAsiaTheme="minorEastAsia" w:cstheme="minorEastAsia"/>
                <w:color w:val="auto"/>
                <w:sz w:val="18"/>
                <w:szCs w:val="18"/>
                <w:highlight w:val="none"/>
              </w:rPr>
              <w:t>专业高级及以上专业技术职称的，得</w:t>
            </w:r>
            <w:r>
              <w:rPr>
                <w:rFonts w:hint="eastAsia" w:asciiTheme="minorEastAsia" w:hAnsiTheme="minorEastAsia" w:eastAsiaTheme="minorEastAsia" w:cstheme="minorEastAsia"/>
                <w:color w:val="auto"/>
                <w:sz w:val="18"/>
                <w:szCs w:val="18"/>
                <w:highlight w:val="none"/>
                <w:lang w:val="en-US" w:eastAsia="zh-CN"/>
              </w:rPr>
              <w:t>2</w:t>
            </w:r>
            <w:r>
              <w:rPr>
                <w:rFonts w:hint="eastAsia" w:asciiTheme="minorEastAsia" w:hAnsiTheme="minorEastAsia" w:eastAsiaTheme="minorEastAsia" w:cstheme="minorEastAsia"/>
                <w:color w:val="auto"/>
                <w:sz w:val="18"/>
                <w:szCs w:val="18"/>
                <w:highlight w:val="none"/>
              </w:rPr>
              <w:t>分；</w:t>
            </w:r>
            <w:r>
              <w:rPr>
                <w:rFonts w:hint="eastAsia" w:asciiTheme="minorEastAsia" w:hAnsiTheme="minorEastAsia" w:eastAsiaTheme="minorEastAsia" w:cstheme="minorEastAsia"/>
                <w:color w:val="auto"/>
                <w:sz w:val="18"/>
                <w:szCs w:val="18"/>
                <w:highlight w:val="none"/>
                <w:lang w:eastAsia="zh-CN"/>
              </w:rPr>
              <w:t>水利类</w:t>
            </w:r>
            <w:r>
              <w:rPr>
                <w:rFonts w:hint="eastAsia" w:asciiTheme="minorEastAsia" w:hAnsiTheme="minorEastAsia" w:eastAsiaTheme="minorEastAsia" w:cstheme="minorEastAsia"/>
                <w:color w:val="auto"/>
                <w:sz w:val="18"/>
                <w:szCs w:val="18"/>
                <w:highlight w:val="none"/>
              </w:rPr>
              <w:t>专业中级职称的，得1分；</w:t>
            </w:r>
            <w:r>
              <w:rPr>
                <w:rFonts w:hint="eastAsia" w:asciiTheme="minorEastAsia" w:hAnsiTheme="minorEastAsia" w:eastAsiaTheme="minorEastAsia" w:cstheme="minorEastAsia"/>
                <w:color w:val="auto"/>
                <w:sz w:val="18"/>
                <w:szCs w:val="18"/>
                <w:highlight w:val="none"/>
                <w:lang w:eastAsia="zh-CN"/>
              </w:rPr>
              <w:t>其他</w:t>
            </w:r>
            <w:r>
              <w:rPr>
                <w:rFonts w:hint="eastAsia" w:asciiTheme="minorEastAsia" w:hAnsiTheme="minorEastAsia" w:eastAsiaTheme="minorEastAsia" w:cstheme="minorEastAsia"/>
                <w:color w:val="auto"/>
                <w:sz w:val="18"/>
                <w:szCs w:val="18"/>
                <w:highlight w:val="none"/>
              </w:rPr>
              <w:t>不得分。</w:t>
            </w:r>
          </w:p>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b/>
                <w:bCs/>
                <w:color w:val="auto"/>
                <w:sz w:val="18"/>
                <w:szCs w:val="18"/>
                <w:highlight w:val="none"/>
              </w:rPr>
              <w:t>注：以上证明材料需提供相关证书原件的扫描件，未提供的不得分。</w:t>
            </w:r>
          </w:p>
        </w:tc>
        <w:tc>
          <w:tcPr>
            <w:tcW w:w="11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662" w:type="dxa"/>
            <w:vMerge w:val="continue"/>
            <w:tcBorders>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lang w:val="en-US" w:eastAsia="zh-CN"/>
              </w:rPr>
            </w:pPr>
          </w:p>
        </w:tc>
        <w:tc>
          <w:tcPr>
            <w:tcW w:w="736"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hint="eastAsia" w:asciiTheme="minorEastAsia" w:hAnsiTheme="minorEastAsia" w:eastAsiaTheme="minorEastAsia" w:cstheme="minorEastAsia"/>
                <w:color w:val="auto"/>
                <w:sz w:val="18"/>
                <w:szCs w:val="18"/>
                <w:highlight w:val="none"/>
              </w:rPr>
            </w:pPr>
          </w:p>
        </w:tc>
        <w:tc>
          <w:tcPr>
            <w:tcW w:w="60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both"/>
              <w:outlineLvl w:val="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②针对本项目组织的项目团队成员（项目负责人和技术负责人除外）中，具有地理信息工程、通信工程、水文水资源、软件工程、计算机科学与技术、遥感相关专业的，每类得0.5分，最多得3分</w:t>
            </w:r>
            <w:r>
              <w:rPr>
                <w:rFonts w:hint="eastAsia" w:asciiTheme="minorEastAsia" w:hAnsiTheme="minorEastAsia" w:eastAsiaTheme="minorEastAsia" w:cstheme="minorEastAsia"/>
                <w:color w:val="auto"/>
                <w:sz w:val="18"/>
                <w:szCs w:val="18"/>
                <w:highlight w:val="none"/>
                <w:lang w:eastAsia="zh-CN"/>
              </w:rPr>
              <w:t>。</w:t>
            </w:r>
          </w:p>
          <w:p>
            <w:pPr>
              <w:widowControl w:val="0"/>
              <w:jc w:val="both"/>
              <w:outlineLvl w:val="0"/>
              <w:rPr>
                <w:rFonts w:hint="eastAsia" w:asciiTheme="minorEastAsia" w:hAnsiTheme="minorEastAsia" w:eastAsiaTheme="minorEastAsia" w:cstheme="minorEastAsia"/>
                <w:color w:val="auto"/>
                <w:sz w:val="18"/>
                <w:szCs w:val="18"/>
                <w:highlight w:val="none"/>
                <w:lang w:eastAsia="zh-CN"/>
              </w:rPr>
            </w:pPr>
            <w:r>
              <w:rPr>
                <w:rFonts w:hint="eastAsia" w:asciiTheme="minorEastAsia" w:hAnsiTheme="minorEastAsia" w:eastAsiaTheme="minorEastAsia" w:cstheme="minorEastAsia"/>
                <w:b/>
                <w:bCs/>
                <w:color w:val="auto"/>
                <w:sz w:val="18"/>
                <w:szCs w:val="18"/>
                <w:highlight w:val="none"/>
              </w:rPr>
              <w:t>注：需提供以上所列人员的职称、资格证以及投标截止时间前近三个月的社保缴纳证明</w:t>
            </w:r>
            <w:r>
              <w:rPr>
                <w:rFonts w:hint="eastAsia" w:asciiTheme="minorEastAsia" w:hAnsiTheme="minorEastAsia" w:eastAsiaTheme="minorEastAsia" w:cstheme="minorEastAsia"/>
                <w:b/>
                <w:bCs/>
                <w:color w:val="auto"/>
                <w:sz w:val="18"/>
                <w:szCs w:val="18"/>
                <w:highlight w:val="none"/>
                <w:lang w:eastAsia="zh-CN"/>
              </w:rPr>
              <w:t>。以上证明材料需提供原件的扫描件，未提供的不得分。</w:t>
            </w:r>
          </w:p>
        </w:tc>
        <w:tc>
          <w:tcPr>
            <w:tcW w:w="11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478" w:type="dxa"/>
            <w:gridSpan w:val="3"/>
            <w:tcBorders>
              <w:top w:val="single" w:color="000000" w:sz="8" w:space="0"/>
              <w:left w:val="single" w:color="000000" w:sz="8" w:space="0"/>
              <w:bottom w:val="single" w:color="000000" w:sz="8" w:space="0"/>
              <w:right w:val="single" w:color="000000" w:sz="8" w:space="0"/>
            </w:tcBorders>
            <w:vAlign w:val="center"/>
          </w:tcPr>
          <w:p>
            <w:pPr>
              <w:widowControl w:val="0"/>
              <w:jc w:val="center"/>
              <w:outlineLvl w:val="0"/>
              <w:rPr>
                <w:rFonts w:hint="eastAsia" w:eastAsia="宋体" w:asciiTheme="minorEastAsia" w:hAnsiTheme="minorEastAsia" w:cstheme="minorEastAsia"/>
                <w:b/>
                <w:bCs/>
                <w:color w:val="auto"/>
                <w:sz w:val="18"/>
                <w:szCs w:val="18"/>
                <w:highlight w:val="none"/>
                <w:lang w:eastAsia="zh-CN"/>
              </w:rPr>
            </w:pPr>
            <w:r>
              <w:rPr>
                <w:rFonts w:hint="eastAsia" w:ascii="宋体" w:hAnsi="宋体" w:cs="宋体"/>
                <w:b/>
                <w:bCs/>
                <w:color w:val="auto"/>
                <w:kern w:val="0"/>
                <w:sz w:val="18"/>
                <w:szCs w:val="18"/>
                <w:highlight w:val="none"/>
              </w:rPr>
              <w:t>自查得分</w:t>
            </w:r>
            <w:r>
              <w:rPr>
                <w:rFonts w:hint="eastAsia" w:ascii="宋体" w:hAnsi="宋体" w:cs="宋体"/>
                <w:b/>
                <w:bCs/>
                <w:color w:val="auto"/>
                <w:kern w:val="0"/>
                <w:sz w:val="18"/>
                <w:szCs w:val="18"/>
                <w:highlight w:val="none"/>
                <w:lang w:eastAsia="zh-CN"/>
              </w:rPr>
              <w:t>合计</w:t>
            </w:r>
          </w:p>
        </w:tc>
        <w:tc>
          <w:tcPr>
            <w:tcW w:w="117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jc w:val="center"/>
              <w:outlineLvl w:val="0"/>
              <w:rPr>
                <w:rFonts w:hint="eastAsia" w:asciiTheme="minorEastAsia" w:hAnsiTheme="minorEastAsia" w:eastAsiaTheme="minorEastAsia" w:cstheme="minorEastAsia"/>
                <w:color w:val="auto"/>
                <w:sz w:val="18"/>
                <w:szCs w:val="18"/>
                <w:highlight w:val="none"/>
              </w:rPr>
            </w:pPr>
          </w:p>
        </w:tc>
      </w:tr>
    </w:tbl>
    <w:p>
      <w:pPr>
        <w:pStyle w:val="49"/>
        <w:widowControl/>
        <w:spacing w:line="360" w:lineRule="auto"/>
        <w:ind w:right="84" w:rightChars="40"/>
        <w:jc w:val="left"/>
        <w:rPr>
          <w:rFonts w:ascii="宋体" w:hAnsi="宋体"/>
          <w:color w:val="auto"/>
          <w:szCs w:val="21"/>
          <w:highlight w:val="none"/>
          <w:lang w:val="en-GB"/>
        </w:rPr>
      </w:pPr>
    </w:p>
    <w:sectPr>
      <w:headerReference r:id="rId3" w:type="default"/>
      <w:footerReference r:id="rId4"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Helvetica">
    <w:panose1 w:val="020B0504020202030204"/>
    <w:charset w:val="00"/>
    <w:family w:val="swiss"/>
    <w:pitch w:val="default"/>
    <w:sig w:usb0="00000007" w:usb1="00000000" w:usb2="00000000" w:usb3="00000000" w:csb0="00000093" w:csb1="00000000"/>
  </w:font>
  <w:font w:name="pingfang sc">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rPr>
    </w:pPr>
    <w:r>
      <w:rPr>
        <w:b/>
      </w:rPr>
      <w:fldChar w:fldCharType="begin"/>
    </w:r>
    <w:r>
      <w:rPr>
        <w:b/>
      </w:rPr>
      <w:instrText xml:space="preserve">PAGE   \* MERGEFORMAT</w:instrText>
    </w:r>
    <w:r>
      <w:rPr>
        <w:b/>
      </w:rPr>
      <w:fldChar w:fldCharType="separate"/>
    </w:r>
    <w:r>
      <w:rPr>
        <w:b/>
        <w:lang w:val="zh-CN"/>
      </w:rPr>
      <w:t>38</w:t>
    </w:r>
    <w:r>
      <w:rPr>
        <w:b/>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rFonts w:asciiTheme="minorEastAsia" w:hAnsiTheme="minorEastAsia" w:eastAsiaTheme="minorEastAsia" w:cstheme="minorEastAsia"/>
        <w:bCs/>
        <w:iCs/>
        <w:color w:val="000000" w:themeColor="text1"/>
        <w:kern w:val="0"/>
        <w:sz w:val="18"/>
        <w:szCs w:val="18"/>
        <w:u w:val="single"/>
        <w14:textFill>
          <w14:solidFill>
            <w14:schemeClr w14:val="tx1"/>
          </w14:solidFill>
        </w14:textFill>
      </w:rPr>
    </w:pP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t>玉环市政府采购招标文件                                                            第</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instrText xml:space="preserve"> PAGE </w:instrTex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separate"/>
    </w:r>
    <w:r>
      <w:rPr>
        <w:rFonts w:asciiTheme="minorEastAsia" w:hAnsiTheme="minorEastAsia" w:eastAsiaTheme="minorEastAsia" w:cstheme="minorEastAsia"/>
        <w:bCs/>
        <w:iCs/>
        <w:color w:val="000000" w:themeColor="text1"/>
        <w:kern w:val="0"/>
        <w:sz w:val="18"/>
        <w:szCs w:val="18"/>
        <w:u w:val="single"/>
        <w14:textFill>
          <w14:solidFill>
            <w14:schemeClr w14:val="tx1"/>
          </w14:solidFill>
        </w14:textFill>
      </w:rPr>
      <w:t>55</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t>页共</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begin"/>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instrText xml:space="preserve"> NUMPAGES </w:instrTex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separate"/>
    </w:r>
    <w:r>
      <w:rPr>
        <w:rFonts w:asciiTheme="minorEastAsia" w:hAnsiTheme="minorEastAsia" w:eastAsiaTheme="minorEastAsia" w:cstheme="minorEastAsia"/>
        <w:bCs/>
        <w:iCs/>
        <w:color w:val="000000" w:themeColor="text1"/>
        <w:kern w:val="0"/>
        <w:sz w:val="18"/>
        <w:szCs w:val="18"/>
        <w:u w:val="single"/>
        <w14:textFill>
          <w14:solidFill>
            <w14:schemeClr w14:val="tx1"/>
          </w14:solidFill>
        </w14:textFill>
      </w:rPr>
      <w:t>92</w:t>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fldChar w:fldCharType="end"/>
    </w:r>
    <w:r>
      <w:rPr>
        <w:rFonts w:hint="eastAsia" w:asciiTheme="minorEastAsia" w:hAnsiTheme="minorEastAsia" w:eastAsiaTheme="minorEastAsia" w:cstheme="minorEastAsia"/>
        <w:bCs/>
        <w:iCs/>
        <w:color w:val="000000" w:themeColor="text1"/>
        <w:kern w:val="0"/>
        <w:sz w:val="18"/>
        <w:szCs w:val="18"/>
        <w:u w:val="single"/>
        <w14:textFill>
          <w14:solidFill>
            <w14:schemeClr w14:val="tx1"/>
          </w14:solidFill>
        </w14:textFill>
      </w:rPr>
      <w:t>页</w:t>
    </w:r>
  </w:p>
  <w:p>
    <w:pPr>
      <w:pStyle w:val="17"/>
      <w:rPr>
        <w:rFonts w:asciiTheme="minorEastAsia" w:hAnsiTheme="minorEastAsia" w:eastAsiaTheme="minorEastAsia" w:cstheme="minorEastAsia"/>
        <w:bCs/>
        <w:iC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9"/>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BF5BE643"/>
    <w:multiLevelType w:val="singleLevel"/>
    <w:tmpl w:val="BF5BE643"/>
    <w:lvl w:ilvl="0" w:tentative="0">
      <w:start w:val="2"/>
      <w:numFmt w:val="decimal"/>
      <w:suff w:val="nothing"/>
      <w:lvlText w:val="%1、"/>
      <w:lvlJc w:val="left"/>
    </w:lvl>
  </w:abstractNum>
  <w:abstractNum w:abstractNumId="4">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5">
    <w:nsid w:val="00ACA297"/>
    <w:multiLevelType w:val="singleLevel"/>
    <w:tmpl w:val="00ACA297"/>
    <w:lvl w:ilvl="0" w:tentative="0">
      <w:start w:val="2"/>
      <w:numFmt w:val="chineseCounting"/>
      <w:suff w:val="nothing"/>
      <w:lvlText w:val="%1、"/>
      <w:lvlJc w:val="left"/>
      <w:rPr>
        <w:rFonts w:hint="eastAsia"/>
      </w:rPr>
    </w:lvl>
  </w:abstractNum>
  <w:abstractNum w:abstractNumId="6">
    <w:nsid w:val="1482775B"/>
    <w:multiLevelType w:val="multilevel"/>
    <w:tmpl w:val="1482775B"/>
    <w:lvl w:ilvl="0" w:tentative="0">
      <w:start w:val="1"/>
      <w:numFmt w:val="decimal"/>
      <w:pStyle w:val="4"/>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439D428B"/>
    <w:multiLevelType w:val="singleLevel"/>
    <w:tmpl w:val="439D428B"/>
    <w:lvl w:ilvl="0" w:tentative="0">
      <w:start w:val="1"/>
      <w:numFmt w:val="decimal"/>
      <w:suff w:val="nothing"/>
      <w:lvlText w:val="（%1）"/>
      <w:lvlJc w:val="left"/>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1">
    <w:nsid w:val="7E70EC24"/>
    <w:multiLevelType w:val="singleLevel"/>
    <w:tmpl w:val="7E70EC24"/>
    <w:lvl w:ilvl="0" w:tentative="0">
      <w:start w:val="2"/>
      <w:numFmt w:val="decimal"/>
      <w:suff w:val="nothing"/>
      <w:lvlText w:val="（%1）"/>
      <w:lvlJc w:val="left"/>
    </w:lvl>
  </w:abstractNum>
  <w:num w:numId="1">
    <w:abstractNumId w:val="6"/>
  </w:num>
  <w:num w:numId="2">
    <w:abstractNumId w:val="1"/>
  </w:num>
  <w:num w:numId="3">
    <w:abstractNumId w:val="9"/>
  </w:num>
  <w:num w:numId="4">
    <w:abstractNumId w:val="8"/>
  </w:num>
  <w:num w:numId="5">
    <w:abstractNumId w:val="2"/>
  </w:num>
  <w:num w:numId="6">
    <w:abstractNumId w:val="4"/>
  </w:num>
  <w:num w:numId="7">
    <w:abstractNumId w:val="11"/>
  </w:num>
  <w:num w:numId="8">
    <w:abstractNumId w:val="5"/>
  </w:num>
  <w:num w:numId="9">
    <w:abstractNumId w:val="7"/>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hideSpellingErrors/>
  <w:documentProtection w:edit="readOnly" w:formatting="1" w:enforcement="1" w:cryptProviderType="rsaFull" w:cryptAlgorithmClass="hash" w:cryptAlgorithmType="typeAny" w:cryptAlgorithmSid="4" w:cryptSpinCount="0" w:hash="a3jf1JLu4PxDR5ykWiv4hMNbRF4=" w:salt="ZQ/6/VTs36UYFfR1bFDSFw=="/>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0280F"/>
    <w:rsid w:val="000206BD"/>
    <w:rsid w:val="0006294D"/>
    <w:rsid w:val="00062AB3"/>
    <w:rsid w:val="00073AAD"/>
    <w:rsid w:val="00095A8F"/>
    <w:rsid w:val="000C32BA"/>
    <w:rsid w:val="00107BF6"/>
    <w:rsid w:val="00165F2A"/>
    <w:rsid w:val="00171C2E"/>
    <w:rsid w:val="001722A3"/>
    <w:rsid w:val="00174CCD"/>
    <w:rsid w:val="001C1A64"/>
    <w:rsid w:val="001C65F2"/>
    <w:rsid w:val="001E57D2"/>
    <w:rsid w:val="002013DA"/>
    <w:rsid w:val="00201D62"/>
    <w:rsid w:val="0021318F"/>
    <w:rsid w:val="00216850"/>
    <w:rsid w:val="002A1620"/>
    <w:rsid w:val="003102FB"/>
    <w:rsid w:val="00332E30"/>
    <w:rsid w:val="003728BD"/>
    <w:rsid w:val="003C04D2"/>
    <w:rsid w:val="003C55C9"/>
    <w:rsid w:val="003C5E00"/>
    <w:rsid w:val="003E1759"/>
    <w:rsid w:val="003F595C"/>
    <w:rsid w:val="003F78E0"/>
    <w:rsid w:val="00441FAE"/>
    <w:rsid w:val="00446CEF"/>
    <w:rsid w:val="0046392C"/>
    <w:rsid w:val="004843E2"/>
    <w:rsid w:val="00491BDF"/>
    <w:rsid w:val="004B4165"/>
    <w:rsid w:val="005144EF"/>
    <w:rsid w:val="00537072"/>
    <w:rsid w:val="00570033"/>
    <w:rsid w:val="00573613"/>
    <w:rsid w:val="00603526"/>
    <w:rsid w:val="00607FF7"/>
    <w:rsid w:val="00616E31"/>
    <w:rsid w:val="00635F52"/>
    <w:rsid w:val="00655E3C"/>
    <w:rsid w:val="00674C42"/>
    <w:rsid w:val="006960CA"/>
    <w:rsid w:val="006C78FA"/>
    <w:rsid w:val="006F4DFE"/>
    <w:rsid w:val="006F6B57"/>
    <w:rsid w:val="00750C01"/>
    <w:rsid w:val="00766209"/>
    <w:rsid w:val="00784D7E"/>
    <w:rsid w:val="007A2629"/>
    <w:rsid w:val="007A55B8"/>
    <w:rsid w:val="007B4D13"/>
    <w:rsid w:val="007C1005"/>
    <w:rsid w:val="007C74B7"/>
    <w:rsid w:val="007D4118"/>
    <w:rsid w:val="007D73C7"/>
    <w:rsid w:val="007F303F"/>
    <w:rsid w:val="00802325"/>
    <w:rsid w:val="008140C3"/>
    <w:rsid w:val="0082291E"/>
    <w:rsid w:val="00847BE5"/>
    <w:rsid w:val="00870C75"/>
    <w:rsid w:val="0088066B"/>
    <w:rsid w:val="00886E4A"/>
    <w:rsid w:val="008D0714"/>
    <w:rsid w:val="008D3A3D"/>
    <w:rsid w:val="00902653"/>
    <w:rsid w:val="00912983"/>
    <w:rsid w:val="00921F0A"/>
    <w:rsid w:val="0093502A"/>
    <w:rsid w:val="00940D55"/>
    <w:rsid w:val="00953816"/>
    <w:rsid w:val="0097760C"/>
    <w:rsid w:val="00985E3B"/>
    <w:rsid w:val="009B3E22"/>
    <w:rsid w:val="009E451E"/>
    <w:rsid w:val="009F3459"/>
    <w:rsid w:val="00A128BC"/>
    <w:rsid w:val="00A30B75"/>
    <w:rsid w:val="00A67321"/>
    <w:rsid w:val="00A730CA"/>
    <w:rsid w:val="00A91A12"/>
    <w:rsid w:val="00AD086F"/>
    <w:rsid w:val="00AD598A"/>
    <w:rsid w:val="00AF082F"/>
    <w:rsid w:val="00B73EF0"/>
    <w:rsid w:val="00B84BB5"/>
    <w:rsid w:val="00B97C8D"/>
    <w:rsid w:val="00BA35AA"/>
    <w:rsid w:val="00C002DC"/>
    <w:rsid w:val="00C141DE"/>
    <w:rsid w:val="00C415AE"/>
    <w:rsid w:val="00C51936"/>
    <w:rsid w:val="00C52E14"/>
    <w:rsid w:val="00C54F22"/>
    <w:rsid w:val="00C767D4"/>
    <w:rsid w:val="00CB1985"/>
    <w:rsid w:val="00CB1DFA"/>
    <w:rsid w:val="00CC232E"/>
    <w:rsid w:val="00CC29B4"/>
    <w:rsid w:val="00CD1804"/>
    <w:rsid w:val="00CD3D80"/>
    <w:rsid w:val="00CF2B51"/>
    <w:rsid w:val="00DC47DA"/>
    <w:rsid w:val="00DE6C56"/>
    <w:rsid w:val="00E12BED"/>
    <w:rsid w:val="00E25A81"/>
    <w:rsid w:val="00E319E7"/>
    <w:rsid w:val="00E41A5E"/>
    <w:rsid w:val="00E94954"/>
    <w:rsid w:val="00EA1958"/>
    <w:rsid w:val="00EA46F5"/>
    <w:rsid w:val="00EF2797"/>
    <w:rsid w:val="00F127FF"/>
    <w:rsid w:val="00F25E81"/>
    <w:rsid w:val="00F304A2"/>
    <w:rsid w:val="00F47E90"/>
    <w:rsid w:val="00FC41E3"/>
    <w:rsid w:val="01183CBF"/>
    <w:rsid w:val="01344FCF"/>
    <w:rsid w:val="01464B61"/>
    <w:rsid w:val="01935887"/>
    <w:rsid w:val="01962C9F"/>
    <w:rsid w:val="01AD5043"/>
    <w:rsid w:val="01AF7323"/>
    <w:rsid w:val="027E26E5"/>
    <w:rsid w:val="02E94F88"/>
    <w:rsid w:val="03D16390"/>
    <w:rsid w:val="042F2E34"/>
    <w:rsid w:val="04742E81"/>
    <w:rsid w:val="047832BE"/>
    <w:rsid w:val="04CC341D"/>
    <w:rsid w:val="04FD3DDE"/>
    <w:rsid w:val="05137CD7"/>
    <w:rsid w:val="05C340C1"/>
    <w:rsid w:val="05E17297"/>
    <w:rsid w:val="060B26E0"/>
    <w:rsid w:val="065A7E98"/>
    <w:rsid w:val="068E6C3D"/>
    <w:rsid w:val="073C2287"/>
    <w:rsid w:val="07424EE0"/>
    <w:rsid w:val="07504E39"/>
    <w:rsid w:val="077B289D"/>
    <w:rsid w:val="077F6C40"/>
    <w:rsid w:val="07B42829"/>
    <w:rsid w:val="07FE2056"/>
    <w:rsid w:val="082C0DD3"/>
    <w:rsid w:val="088B0BF4"/>
    <w:rsid w:val="089B56F2"/>
    <w:rsid w:val="095204DA"/>
    <w:rsid w:val="09C17799"/>
    <w:rsid w:val="0A5C7382"/>
    <w:rsid w:val="0AB948DC"/>
    <w:rsid w:val="0B964B78"/>
    <w:rsid w:val="0BC1228B"/>
    <w:rsid w:val="0C1E2BA0"/>
    <w:rsid w:val="0C2415D3"/>
    <w:rsid w:val="0C5862C4"/>
    <w:rsid w:val="0C765CB2"/>
    <w:rsid w:val="0CF4479D"/>
    <w:rsid w:val="0D4B6EEB"/>
    <w:rsid w:val="0D8E1831"/>
    <w:rsid w:val="0DB37DA9"/>
    <w:rsid w:val="0DC4358A"/>
    <w:rsid w:val="0DCE1EEF"/>
    <w:rsid w:val="0DE55F05"/>
    <w:rsid w:val="0E635713"/>
    <w:rsid w:val="0E970358"/>
    <w:rsid w:val="0EA36BC1"/>
    <w:rsid w:val="0EE63629"/>
    <w:rsid w:val="0F0B0D44"/>
    <w:rsid w:val="0F2B662B"/>
    <w:rsid w:val="0F530A77"/>
    <w:rsid w:val="0F6552E2"/>
    <w:rsid w:val="0FD94249"/>
    <w:rsid w:val="100E024A"/>
    <w:rsid w:val="10392EAE"/>
    <w:rsid w:val="10706EC2"/>
    <w:rsid w:val="1121582E"/>
    <w:rsid w:val="12615F79"/>
    <w:rsid w:val="12807280"/>
    <w:rsid w:val="135202B8"/>
    <w:rsid w:val="13595AEC"/>
    <w:rsid w:val="13781EA1"/>
    <w:rsid w:val="13BA6F1B"/>
    <w:rsid w:val="13DF748B"/>
    <w:rsid w:val="13FF3340"/>
    <w:rsid w:val="140C543C"/>
    <w:rsid w:val="14290ADE"/>
    <w:rsid w:val="14346C0C"/>
    <w:rsid w:val="148463E6"/>
    <w:rsid w:val="1499656E"/>
    <w:rsid w:val="14AF42C1"/>
    <w:rsid w:val="14D20D9B"/>
    <w:rsid w:val="14DE1C1C"/>
    <w:rsid w:val="15287094"/>
    <w:rsid w:val="153B6675"/>
    <w:rsid w:val="154A0774"/>
    <w:rsid w:val="15A72BED"/>
    <w:rsid w:val="15E2359A"/>
    <w:rsid w:val="1621170E"/>
    <w:rsid w:val="16E033D4"/>
    <w:rsid w:val="16E713AE"/>
    <w:rsid w:val="172D620A"/>
    <w:rsid w:val="17727BE7"/>
    <w:rsid w:val="18261AC5"/>
    <w:rsid w:val="189C0753"/>
    <w:rsid w:val="18B91D2B"/>
    <w:rsid w:val="18C40414"/>
    <w:rsid w:val="18EB740A"/>
    <w:rsid w:val="19310D44"/>
    <w:rsid w:val="19D016DA"/>
    <w:rsid w:val="1A3B20D5"/>
    <w:rsid w:val="1A6A6D44"/>
    <w:rsid w:val="1A817123"/>
    <w:rsid w:val="1B915F81"/>
    <w:rsid w:val="1B936A5D"/>
    <w:rsid w:val="1BDEBEAC"/>
    <w:rsid w:val="1BE23DA9"/>
    <w:rsid w:val="1C093ECB"/>
    <w:rsid w:val="1C7A21C4"/>
    <w:rsid w:val="1CE4433A"/>
    <w:rsid w:val="1D456C27"/>
    <w:rsid w:val="1D6C565A"/>
    <w:rsid w:val="1D7D16F3"/>
    <w:rsid w:val="1DA64144"/>
    <w:rsid w:val="1E0A2076"/>
    <w:rsid w:val="1E2608CF"/>
    <w:rsid w:val="1E432094"/>
    <w:rsid w:val="1EAF32E2"/>
    <w:rsid w:val="1EE84AA8"/>
    <w:rsid w:val="1EFA425F"/>
    <w:rsid w:val="1EFFF4B3"/>
    <w:rsid w:val="1F45179B"/>
    <w:rsid w:val="1F77199B"/>
    <w:rsid w:val="200C30D8"/>
    <w:rsid w:val="205E7E2B"/>
    <w:rsid w:val="208F7F21"/>
    <w:rsid w:val="20A9056C"/>
    <w:rsid w:val="21047E63"/>
    <w:rsid w:val="211A582E"/>
    <w:rsid w:val="216430E4"/>
    <w:rsid w:val="21B603B0"/>
    <w:rsid w:val="21BC5C5A"/>
    <w:rsid w:val="226E2BA4"/>
    <w:rsid w:val="228447E5"/>
    <w:rsid w:val="22F82880"/>
    <w:rsid w:val="23424F53"/>
    <w:rsid w:val="236E14E2"/>
    <w:rsid w:val="23757EF1"/>
    <w:rsid w:val="237B3513"/>
    <w:rsid w:val="239E1D07"/>
    <w:rsid w:val="23B109F1"/>
    <w:rsid w:val="23ED67F6"/>
    <w:rsid w:val="242F739C"/>
    <w:rsid w:val="24541EF5"/>
    <w:rsid w:val="24723495"/>
    <w:rsid w:val="24C05495"/>
    <w:rsid w:val="24E508F1"/>
    <w:rsid w:val="250224DD"/>
    <w:rsid w:val="25485D1E"/>
    <w:rsid w:val="25B94B74"/>
    <w:rsid w:val="25E93BCF"/>
    <w:rsid w:val="25EF43AC"/>
    <w:rsid w:val="26115EDF"/>
    <w:rsid w:val="265A0151"/>
    <w:rsid w:val="267A23FE"/>
    <w:rsid w:val="268502F9"/>
    <w:rsid w:val="26BC1DEE"/>
    <w:rsid w:val="275C2DDA"/>
    <w:rsid w:val="27953D04"/>
    <w:rsid w:val="27AB4DCE"/>
    <w:rsid w:val="27BE1281"/>
    <w:rsid w:val="27D00FE1"/>
    <w:rsid w:val="27F61E5E"/>
    <w:rsid w:val="27F76B28"/>
    <w:rsid w:val="28655363"/>
    <w:rsid w:val="288978C6"/>
    <w:rsid w:val="28D07FED"/>
    <w:rsid w:val="28E264AD"/>
    <w:rsid w:val="291C01CD"/>
    <w:rsid w:val="29C84EDD"/>
    <w:rsid w:val="29D148D0"/>
    <w:rsid w:val="29E60F26"/>
    <w:rsid w:val="2A137BE3"/>
    <w:rsid w:val="2A162D55"/>
    <w:rsid w:val="2A7D70A8"/>
    <w:rsid w:val="2A8628A1"/>
    <w:rsid w:val="2A9902D1"/>
    <w:rsid w:val="2AC803DC"/>
    <w:rsid w:val="2B383833"/>
    <w:rsid w:val="2B99658A"/>
    <w:rsid w:val="2C5F5948"/>
    <w:rsid w:val="2C6911C0"/>
    <w:rsid w:val="2C8C1715"/>
    <w:rsid w:val="2CC032E4"/>
    <w:rsid w:val="2CE7722F"/>
    <w:rsid w:val="2D72354B"/>
    <w:rsid w:val="2D7A4B45"/>
    <w:rsid w:val="2D8D01A6"/>
    <w:rsid w:val="2DBF2AD5"/>
    <w:rsid w:val="2DC74409"/>
    <w:rsid w:val="2EA40BAA"/>
    <w:rsid w:val="2EAB0B7A"/>
    <w:rsid w:val="2EEB19B1"/>
    <w:rsid w:val="2F223892"/>
    <w:rsid w:val="2F392FFF"/>
    <w:rsid w:val="2F5A0DD9"/>
    <w:rsid w:val="2F6B2D40"/>
    <w:rsid w:val="2F9F1F01"/>
    <w:rsid w:val="2FA9313B"/>
    <w:rsid w:val="2FAB2A22"/>
    <w:rsid w:val="30143D85"/>
    <w:rsid w:val="30483FFF"/>
    <w:rsid w:val="309933F4"/>
    <w:rsid w:val="30B01340"/>
    <w:rsid w:val="30C26EA4"/>
    <w:rsid w:val="30C6523C"/>
    <w:rsid w:val="31396738"/>
    <w:rsid w:val="31752B09"/>
    <w:rsid w:val="317A3780"/>
    <w:rsid w:val="318C280D"/>
    <w:rsid w:val="32684247"/>
    <w:rsid w:val="3297173F"/>
    <w:rsid w:val="32C336B0"/>
    <w:rsid w:val="341548E3"/>
    <w:rsid w:val="3440550E"/>
    <w:rsid w:val="34753D6B"/>
    <w:rsid w:val="34C727E5"/>
    <w:rsid w:val="34D26C2F"/>
    <w:rsid w:val="35244791"/>
    <w:rsid w:val="355D2728"/>
    <w:rsid w:val="358B07BE"/>
    <w:rsid w:val="35CF21E2"/>
    <w:rsid w:val="36C333EB"/>
    <w:rsid w:val="36E005BE"/>
    <w:rsid w:val="370E7212"/>
    <w:rsid w:val="372B1BB0"/>
    <w:rsid w:val="37481298"/>
    <w:rsid w:val="37577C14"/>
    <w:rsid w:val="37712A39"/>
    <w:rsid w:val="37AE6E9C"/>
    <w:rsid w:val="37C271D1"/>
    <w:rsid w:val="37CE4F77"/>
    <w:rsid w:val="37D029A4"/>
    <w:rsid w:val="380672F9"/>
    <w:rsid w:val="381B59F1"/>
    <w:rsid w:val="38D91287"/>
    <w:rsid w:val="38F94B35"/>
    <w:rsid w:val="39573B6C"/>
    <w:rsid w:val="398A7550"/>
    <w:rsid w:val="39A03A52"/>
    <w:rsid w:val="39C53CD8"/>
    <w:rsid w:val="39DE2FD5"/>
    <w:rsid w:val="39F34C07"/>
    <w:rsid w:val="3A0A3E2F"/>
    <w:rsid w:val="3A1D1CF3"/>
    <w:rsid w:val="3A1D2170"/>
    <w:rsid w:val="3A3F5211"/>
    <w:rsid w:val="3A5B2C48"/>
    <w:rsid w:val="3AE50133"/>
    <w:rsid w:val="3B345EA5"/>
    <w:rsid w:val="3B7D477A"/>
    <w:rsid w:val="3C020153"/>
    <w:rsid w:val="3C0F7C63"/>
    <w:rsid w:val="3C50345E"/>
    <w:rsid w:val="3C535292"/>
    <w:rsid w:val="3CB435C9"/>
    <w:rsid w:val="3CF80B5D"/>
    <w:rsid w:val="3D817FE1"/>
    <w:rsid w:val="3DB12578"/>
    <w:rsid w:val="3DB531EC"/>
    <w:rsid w:val="3DCD5DF6"/>
    <w:rsid w:val="3DE86C6B"/>
    <w:rsid w:val="3E3508E7"/>
    <w:rsid w:val="3E4C51CD"/>
    <w:rsid w:val="3E985B3D"/>
    <w:rsid w:val="3EA13BEC"/>
    <w:rsid w:val="3EC82C92"/>
    <w:rsid w:val="3ED94F9C"/>
    <w:rsid w:val="3EEC6F56"/>
    <w:rsid w:val="3EFD547E"/>
    <w:rsid w:val="3F3C60EE"/>
    <w:rsid w:val="3F433240"/>
    <w:rsid w:val="3F7D2BCA"/>
    <w:rsid w:val="3F9E713A"/>
    <w:rsid w:val="3FB30860"/>
    <w:rsid w:val="3FB933B6"/>
    <w:rsid w:val="3FF39BA0"/>
    <w:rsid w:val="3FFD8D37"/>
    <w:rsid w:val="408C0053"/>
    <w:rsid w:val="40EB6F44"/>
    <w:rsid w:val="413B08D3"/>
    <w:rsid w:val="417744BC"/>
    <w:rsid w:val="41955D4D"/>
    <w:rsid w:val="420A29EE"/>
    <w:rsid w:val="421D4D7C"/>
    <w:rsid w:val="42250362"/>
    <w:rsid w:val="423A6905"/>
    <w:rsid w:val="4261554C"/>
    <w:rsid w:val="42E82B6F"/>
    <w:rsid w:val="43036342"/>
    <w:rsid w:val="430B5334"/>
    <w:rsid w:val="43206FE7"/>
    <w:rsid w:val="43471696"/>
    <w:rsid w:val="436460DC"/>
    <w:rsid w:val="438D1989"/>
    <w:rsid w:val="43A57ABB"/>
    <w:rsid w:val="43A83792"/>
    <w:rsid w:val="43B86502"/>
    <w:rsid w:val="446E79B8"/>
    <w:rsid w:val="449A5522"/>
    <w:rsid w:val="44EC29B1"/>
    <w:rsid w:val="4563730C"/>
    <w:rsid w:val="458A1444"/>
    <w:rsid w:val="45CB53CC"/>
    <w:rsid w:val="46822259"/>
    <w:rsid w:val="468E0131"/>
    <w:rsid w:val="46ED5382"/>
    <w:rsid w:val="46FAF615"/>
    <w:rsid w:val="472A5610"/>
    <w:rsid w:val="472B3357"/>
    <w:rsid w:val="47360A56"/>
    <w:rsid w:val="477E2C88"/>
    <w:rsid w:val="478333D8"/>
    <w:rsid w:val="4788640B"/>
    <w:rsid w:val="480B693A"/>
    <w:rsid w:val="485C107E"/>
    <w:rsid w:val="48694FA0"/>
    <w:rsid w:val="4883270A"/>
    <w:rsid w:val="488D7D03"/>
    <w:rsid w:val="488E768B"/>
    <w:rsid w:val="48AD2FFF"/>
    <w:rsid w:val="48B67F95"/>
    <w:rsid w:val="49371778"/>
    <w:rsid w:val="49713132"/>
    <w:rsid w:val="4991008C"/>
    <w:rsid w:val="49D41E18"/>
    <w:rsid w:val="49F41D5E"/>
    <w:rsid w:val="4A137E28"/>
    <w:rsid w:val="4ADB6432"/>
    <w:rsid w:val="4B187DAE"/>
    <w:rsid w:val="4B1E31F7"/>
    <w:rsid w:val="4B7508AB"/>
    <w:rsid w:val="4B812F58"/>
    <w:rsid w:val="4BA0420E"/>
    <w:rsid w:val="4BB03363"/>
    <w:rsid w:val="4BCB3573"/>
    <w:rsid w:val="4BD56176"/>
    <w:rsid w:val="4C2645F8"/>
    <w:rsid w:val="4CE75373"/>
    <w:rsid w:val="4D065287"/>
    <w:rsid w:val="4D2F0209"/>
    <w:rsid w:val="4E4B081F"/>
    <w:rsid w:val="4E9C1CD3"/>
    <w:rsid w:val="4EBA6201"/>
    <w:rsid w:val="4F687EAB"/>
    <w:rsid w:val="4FAA7EC3"/>
    <w:rsid w:val="4FC53DBE"/>
    <w:rsid w:val="4FDC6724"/>
    <w:rsid w:val="4FE73C45"/>
    <w:rsid w:val="4FF45CD5"/>
    <w:rsid w:val="503B47A4"/>
    <w:rsid w:val="517238D7"/>
    <w:rsid w:val="518435F5"/>
    <w:rsid w:val="51CC4FB9"/>
    <w:rsid w:val="51F13C16"/>
    <w:rsid w:val="5242055C"/>
    <w:rsid w:val="525C3F94"/>
    <w:rsid w:val="52DB2202"/>
    <w:rsid w:val="52E6D006"/>
    <w:rsid w:val="532E2916"/>
    <w:rsid w:val="53565C60"/>
    <w:rsid w:val="53B464D9"/>
    <w:rsid w:val="546C2376"/>
    <w:rsid w:val="548B4409"/>
    <w:rsid w:val="54C47451"/>
    <w:rsid w:val="54D50D8F"/>
    <w:rsid w:val="55140FDD"/>
    <w:rsid w:val="558827AB"/>
    <w:rsid w:val="55A4152E"/>
    <w:rsid w:val="55B43F91"/>
    <w:rsid w:val="55EF39A2"/>
    <w:rsid w:val="55F41F4A"/>
    <w:rsid w:val="566D4B95"/>
    <w:rsid w:val="56A83A73"/>
    <w:rsid w:val="572656D4"/>
    <w:rsid w:val="574431E7"/>
    <w:rsid w:val="57A32411"/>
    <w:rsid w:val="57AD595D"/>
    <w:rsid w:val="581F5026"/>
    <w:rsid w:val="58337D80"/>
    <w:rsid w:val="590509E3"/>
    <w:rsid w:val="596D0701"/>
    <w:rsid w:val="59AD06A4"/>
    <w:rsid w:val="5A4D586D"/>
    <w:rsid w:val="5A5B27AE"/>
    <w:rsid w:val="5A6249B0"/>
    <w:rsid w:val="5A9613A1"/>
    <w:rsid w:val="5AF93F3D"/>
    <w:rsid w:val="5B3F3E55"/>
    <w:rsid w:val="5B543124"/>
    <w:rsid w:val="5B552733"/>
    <w:rsid w:val="5BB17ECA"/>
    <w:rsid w:val="5C1427BE"/>
    <w:rsid w:val="5C4812B7"/>
    <w:rsid w:val="5CAC5610"/>
    <w:rsid w:val="5CD244D4"/>
    <w:rsid w:val="5CD642D9"/>
    <w:rsid w:val="5CF650A8"/>
    <w:rsid w:val="5D6C6DE7"/>
    <w:rsid w:val="5DC75EF7"/>
    <w:rsid w:val="5E0C41C2"/>
    <w:rsid w:val="5E453139"/>
    <w:rsid w:val="5E7C626E"/>
    <w:rsid w:val="5E8237E1"/>
    <w:rsid w:val="5E866809"/>
    <w:rsid w:val="5EE04090"/>
    <w:rsid w:val="5EE84C68"/>
    <w:rsid w:val="5EEBC73C"/>
    <w:rsid w:val="5EF764CF"/>
    <w:rsid w:val="5F1D1414"/>
    <w:rsid w:val="5F6635B0"/>
    <w:rsid w:val="5F66E909"/>
    <w:rsid w:val="5FDD5292"/>
    <w:rsid w:val="5FE42EC2"/>
    <w:rsid w:val="607C0329"/>
    <w:rsid w:val="607E0A12"/>
    <w:rsid w:val="61210A5F"/>
    <w:rsid w:val="615C17E5"/>
    <w:rsid w:val="61C8686F"/>
    <w:rsid w:val="61DB0793"/>
    <w:rsid w:val="621D5BA4"/>
    <w:rsid w:val="624551D8"/>
    <w:rsid w:val="627977A0"/>
    <w:rsid w:val="62AC1E92"/>
    <w:rsid w:val="62C00B68"/>
    <w:rsid w:val="63205611"/>
    <w:rsid w:val="635972AB"/>
    <w:rsid w:val="635B6748"/>
    <w:rsid w:val="637161CE"/>
    <w:rsid w:val="638D551F"/>
    <w:rsid w:val="63947A95"/>
    <w:rsid w:val="63F52E0F"/>
    <w:rsid w:val="64316C5D"/>
    <w:rsid w:val="644B55E8"/>
    <w:rsid w:val="64CA4280"/>
    <w:rsid w:val="64E05610"/>
    <w:rsid w:val="64E73B37"/>
    <w:rsid w:val="64F37FA3"/>
    <w:rsid w:val="65D7775C"/>
    <w:rsid w:val="663025ED"/>
    <w:rsid w:val="663E0D74"/>
    <w:rsid w:val="66A620BB"/>
    <w:rsid w:val="66BF2A15"/>
    <w:rsid w:val="66CF283B"/>
    <w:rsid w:val="672B7FD0"/>
    <w:rsid w:val="676E1FE0"/>
    <w:rsid w:val="67B167D1"/>
    <w:rsid w:val="67D80A6C"/>
    <w:rsid w:val="67E81CD0"/>
    <w:rsid w:val="67EB394F"/>
    <w:rsid w:val="680E676D"/>
    <w:rsid w:val="681F6955"/>
    <w:rsid w:val="68573E66"/>
    <w:rsid w:val="685F1C50"/>
    <w:rsid w:val="69646FD2"/>
    <w:rsid w:val="69811AFA"/>
    <w:rsid w:val="699022E9"/>
    <w:rsid w:val="69BB2878"/>
    <w:rsid w:val="69E15C1B"/>
    <w:rsid w:val="6A565837"/>
    <w:rsid w:val="6A714498"/>
    <w:rsid w:val="6A775358"/>
    <w:rsid w:val="6A7A3C06"/>
    <w:rsid w:val="6AB13E7B"/>
    <w:rsid w:val="6B0B7927"/>
    <w:rsid w:val="6B42557D"/>
    <w:rsid w:val="6BAE46D2"/>
    <w:rsid w:val="6C2A5C85"/>
    <w:rsid w:val="6C44124A"/>
    <w:rsid w:val="6C5D5C10"/>
    <w:rsid w:val="6CDC6BF8"/>
    <w:rsid w:val="6D02011C"/>
    <w:rsid w:val="6D1B4B80"/>
    <w:rsid w:val="6D6A4B39"/>
    <w:rsid w:val="6DDD645C"/>
    <w:rsid w:val="6DF4161F"/>
    <w:rsid w:val="6F217B52"/>
    <w:rsid w:val="6F7FEEA3"/>
    <w:rsid w:val="6FDE4F78"/>
    <w:rsid w:val="6FEFC4EC"/>
    <w:rsid w:val="70820A7C"/>
    <w:rsid w:val="70936C51"/>
    <w:rsid w:val="70DB219D"/>
    <w:rsid w:val="70EE5E41"/>
    <w:rsid w:val="710D1E24"/>
    <w:rsid w:val="712D2AFE"/>
    <w:rsid w:val="71710426"/>
    <w:rsid w:val="717107AB"/>
    <w:rsid w:val="71B302C0"/>
    <w:rsid w:val="71E00F57"/>
    <w:rsid w:val="72B83CC2"/>
    <w:rsid w:val="73147B15"/>
    <w:rsid w:val="734E63E1"/>
    <w:rsid w:val="73EF24A5"/>
    <w:rsid w:val="742972A7"/>
    <w:rsid w:val="745024D0"/>
    <w:rsid w:val="745919C6"/>
    <w:rsid w:val="74600618"/>
    <w:rsid w:val="74702A9A"/>
    <w:rsid w:val="74E673BF"/>
    <w:rsid w:val="74ED10B4"/>
    <w:rsid w:val="74FFE614"/>
    <w:rsid w:val="750E495B"/>
    <w:rsid w:val="75BF4CFB"/>
    <w:rsid w:val="75EB3B35"/>
    <w:rsid w:val="761C2BBB"/>
    <w:rsid w:val="765F4246"/>
    <w:rsid w:val="766C0D71"/>
    <w:rsid w:val="76A47DA8"/>
    <w:rsid w:val="76AA7BD3"/>
    <w:rsid w:val="76F72695"/>
    <w:rsid w:val="76FA25F3"/>
    <w:rsid w:val="770165C5"/>
    <w:rsid w:val="77606A91"/>
    <w:rsid w:val="776A1DE8"/>
    <w:rsid w:val="778843E2"/>
    <w:rsid w:val="778844DF"/>
    <w:rsid w:val="77B6F360"/>
    <w:rsid w:val="77CC771C"/>
    <w:rsid w:val="77D7EC4F"/>
    <w:rsid w:val="77E76825"/>
    <w:rsid w:val="7809318F"/>
    <w:rsid w:val="78352818"/>
    <w:rsid w:val="785D00CA"/>
    <w:rsid w:val="78762826"/>
    <w:rsid w:val="78A339A7"/>
    <w:rsid w:val="78A57D93"/>
    <w:rsid w:val="78B437F6"/>
    <w:rsid w:val="79091796"/>
    <w:rsid w:val="793627D1"/>
    <w:rsid w:val="79C42C2C"/>
    <w:rsid w:val="79CC0251"/>
    <w:rsid w:val="79DB0D59"/>
    <w:rsid w:val="79DE32E4"/>
    <w:rsid w:val="7A535EC2"/>
    <w:rsid w:val="7A6536FD"/>
    <w:rsid w:val="7AD501BC"/>
    <w:rsid w:val="7AEB5906"/>
    <w:rsid w:val="7B5D2ADF"/>
    <w:rsid w:val="7B5F9255"/>
    <w:rsid w:val="7B904351"/>
    <w:rsid w:val="7BE64654"/>
    <w:rsid w:val="7C076BB0"/>
    <w:rsid w:val="7C465E6F"/>
    <w:rsid w:val="7C5C5AFF"/>
    <w:rsid w:val="7C731113"/>
    <w:rsid w:val="7C89B142"/>
    <w:rsid w:val="7CAB59E6"/>
    <w:rsid w:val="7D095886"/>
    <w:rsid w:val="7DB506D7"/>
    <w:rsid w:val="7DDD6CEA"/>
    <w:rsid w:val="7DE47C5B"/>
    <w:rsid w:val="7DFF81C2"/>
    <w:rsid w:val="7E0D7EF2"/>
    <w:rsid w:val="7E2F7CAD"/>
    <w:rsid w:val="7E3161D8"/>
    <w:rsid w:val="7E4E9CF6"/>
    <w:rsid w:val="7E636E14"/>
    <w:rsid w:val="7E8452E6"/>
    <w:rsid w:val="7E93651E"/>
    <w:rsid w:val="7EE15F38"/>
    <w:rsid w:val="7EE465C3"/>
    <w:rsid w:val="7F3376E9"/>
    <w:rsid w:val="7F402124"/>
    <w:rsid w:val="7F47442A"/>
    <w:rsid w:val="7F8399F7"/>
    <w:rsid w:val="7FC60CF6"/>
    <w:rsid w:val="7FCD90D6"/>
    <w:rsid w:val="7FDFB87E"/>
    <w:rsid w:val="ABB7D365"/>
    <w:rsid w:val="BA5742CD"/>
    <w:rsid w:val="BF1FC057"/>
    <w:rsid w:val="BF77DA11"/>
    <w:rsid w:val="BFBEE547"/>
    <w:rsid w:val="BFF62ACC"/>
    <w:rsid w:val="D6FF7B6B"/>
    <w:rsid w:val="DF7F16CF"/>
    <w:rsid w:val="E79DD9B0"/>
    <w:rsid w:val="EBFA4B2E"/>
    <w:rsid w:val="EDFE9EAD"/>
    <w:rsid w:val="EF9F41A8"/>
    <w:rsid w:val="EFAF73B9"/>
    <w:rsid w:val="EFF30B54"/>
    <w:rsid w:val="F1FB6E39"/>
    <w:rsid w:val="F7EBE7AF"/>
    <w:rsid w:val="F91F6357"/>
    <w:rsid w:val="FA6DE7A7"/>
    <w:rsid w:val="FB1FE1A0"/>
    <w:rsid w:val="FB3E2E70"/>
    <w:rsid w:val="FBAFAF97"/>
    <w:rsid w:val="FBDEC413"/>
    <w:rsid w:val="FBFCD280"/>
    <w:rsid w:val="FBFD54F6"/>
    <w:rsid w:val="FDFF0DFB"/>
    <w:rsid w:val="FE27A76F"/>
    <w:rsid w:val="FE4724DE"/>
    <w:rsid w:val="FEB9E25B"/>
    <w:rsid w:val="FEBD5819"/>
    <w:rsid w:val="FEDF9D1F"/>
    <w:rsid w:val="FEF7A561"/>
    <w:rsid w:val="FEFD17C9"/>
    <w:rsid w:val="FEFF6620"/>
    <w:rsid w:val="FFDF8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pBdr>
        <w:bottom w:val="single" w:color="585858" w:themeColor="text1" w:themeTint="A6" w:sz="4" w:space="1"/>
      </w:pBdr>
      <w:spacing w:before="360"/>
      <w:outlineLvl w:val="0"/>
    </w:pPr>
    <w:rPr>
      <w:rFonts w:asciiTheme="majorHAnsi" w:hAnsiTheme="majorHAnsi" w:eastAsiaTheme="majorEastAsia" w:cstheme="majorBidi"/>
      <w:b/>
      <w:bCs/>
      <w:smallCaps/>
      <w:color w:val="000000" w:themeColor="text1"/>
      <w:sz w:val="36"/>
      <w:szCs w:val="36"/>
      <w14:textFill>
        <w14:solidFill>
          <w14:schemeClr w14:val="tx1"/>
        </w14:solidFill>
      </w14:textFill>
    </w:rPr>
  </w:style>
  <w:style w:type="paragraph" w:styleId="5">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7"/>
    <w:unhideWhenUsed/>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spacing w:line="360" w:lineRule="auto"/>
      <w:outlineLvl w:val="3"/>
    </w:pPr>
    <w:rPr>
      <w:rFonts w:ascii="Cambria" w:hAnsi="Cambria" w:cs="宋体"/>
      <w:b/>
      <w:i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03"/>
    <w:unhideWhenUsed/>
    <w:qFormat/>
    <w:uiPriority w:val="99"/>
    <w:pPr>
      <w:ind w:firstLine="420" w:firstLineChars="200"/>
    </w:pPr>
  </w:style>
  <w:style w:type="paragraph" w:styleId="3">
    <w:name w:val="Body Text Indent"/>
    <w:basedOn w:val="1"/>
    <w:link w:val="56"/>
    <w:qFormat/>
    <w:uiPriority w:val="0"/>
    <w:pPr>
      <w:spacing w:after="120"/>
      <w:ind w:left="420" w:leftChars="200"/>
    </w:pPr>
  </w:style>
  <w:style w:type="paragraph" w:styleId="7">
    <w:name w:val="Normal Indent"/>
    <w:basedOn w:val="1"/>
    <w:qFormat/>
    <w:uiPriority w:val="0"/>
    <w:pPr>
      <w:ind w:firstLine="420"/>
    </w:pPr>
    <w:rPr>
      <w:szCs w:val="20"/>
    </w:rPr>
  </w:style>
  <w:style w:type="paragraph" w:styleId="9">
    <w:name w:val="List Number"/>
    <w:basedOn w:val="1"/>
    <w:qFormat/>
    <w:uiPriority w:val="0"/>
    <w:pPr>
      <w:numPr>
        <w:ilvl w:val="0"/>
        <w:numId w:val="2"/>
      </w:numPr>
    </w:pPr>
  </w:style>
  <w:style w:type="paragraph" w:styleId="10">
    <w:name w:val="annotation text"/>
    <w:basedOn w:val="1"/>
    <w:link w:val="53"/>
    <w:qFormat/>
    <w:uiPriority w:val="0"/>
    <w:pPr>
      <w:jc w:val="left"/>
    </w:pPr>
  </w:style>
  <w:style w:type="paragraph" w:styleId="11">
    <w:name w:val="Body Text"/>
    <w:basedOn w:val="1"/>
    <w:next w:val="12"/>
    <w:link w:val="101"/>
    <w:qFormat/>
    <w:uiPriority w:val="0"/>
    <w:pPr>
      <w:spacing w:line="360" w:lineRule="exact"/>
    </w:pPr>
    <w:rPr>
      <w:sz w:val="24"/>
    </w:rPr>
  </w:style>
  <w:style w:type="paragraph" w:styleId="12">
    <w:name w:val="toc 4"/>
    <w:next w:val="1"/>
    <w:qFormat/>
    <w:uiPriority w:val="0"/>
    <w:pPr>
      <w:wordWrap w:val="0"/>
      <w:ind w:left="850"/>
      <w:jc w:val="both"/>
    </w:pPr>
    <w:rPr>
      <w:rFonts w:ascii="Calibri" w:hAnsi="Calibri" w:eastAsia="宋体" w:cs="Times New Roman"/>
      <w:sz w:val="21"/>
      <w:lang w:val="en-US" w:eastAsia="zh-CN" w:bidi="ar-SA"/>
    </w:rPr>
  </w:style>
  <w:style w:type="paragraph" w:styleId="13">
    <w:name w:val="Plain Text"/>
    <w:basedOn w:val="1"/>
    <w:link w:val="102"/>
    <w:qFormat/>
    <w:uiPriority w:val="0"/>
    <w:rPr>
      <w:rFonts w:ascii="宋体" w:hAnsi="Courier New" w:cstheme="minorBidi"/>
    </w:rPr>
  </w:style>
  <w:style w:type="paragraph" w:styleId="14">
    <w:name w:val="Date"/>
    <w:basedOn w:val="1"/>
    <w:next w:val="1"/>
    <w:qFormat/>
    <w:uiPriority w:val="0"/>
    <w:pPr>
      <w:ind w:left="2500" w:leftChars="2500"/>
    </w:pPr>
    <w:rPr>
      <w:rFonts w:eastAsia="楷体_GB2312" w:asciiTheme="minorHAnsi" w:hAnsiTheme="minorHAnsi" w:cstheme="minorBidi"/>
      <w:sz w:val="32"/>
      <w:szCs w:val="22"/>
    </w:rPr>
  </w:style>
  <w:style w:type="paragraph" w:styleId="15">
    <w:name w:val="Balloon Text"/>
    <w:basedOn w:val="1"/>
    <w:link w:val="5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9">
    <w:name w:val="Title"/>
    <w:basedOn w:val="1"/>
    <w:next w:val="1"/>
    <w:qFormat/>
    <w:uiPriority w:val="0"/>
    <w:pPr>
      <w:spacing w:before="240" w:after="60"/>
      <w:jc w:val="center"/>
      <w:outlineLvl w:val="0"/>
    </w:pPr>
    <w:rPr>
      <w:rFonts w:ascii="Cambria" w:hAnsi="Cambria" w:eastAsia="仿宋_GB2312"/>
      <w:b/>
      <w:bCs/>
      <w:sz w:val="36"/>
      <w:szCs w:val="32"/>
    </w:rPr>
  </w:style>
  <w:style w:type="paragraph" w:styleId="20">
    <w:name w:val="annotation subject"/>
    <w:basedOn w:val="10"/>
    <w:next w:val="10"/>
    <w:link w:val="54"/>
    <w:qFormat/>
    <w:uiPriority w:val="0"/>
    <w:rPr>
      <w:b/>
      <w:bCs/>
    </w:rPr>
  </w:style>
  <w:style w:type="paragraph" w:styleId="21">
    <w:name w:val="Body Text First Indent"/>
    <w:basedOn w:val="11"/>
    <w:unhideWhenUsed/>
    <w:qFormat/>
    <w:uiPriority w:val="99"/>
    <w:pPr>
      <w:ind w:firstLine="420" w:firstLineChars="1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FollowedHyperlink"/>
    <w:basedOn w:val="24"/>
    <w:qFormat/>
    <w:uiPriority w:val="0"/>
    <w:rPr>
      <w:color w:val="000000"/>
      <w:u w:val="none"/>
    </w:rPr>
  </w:style>
  <w:style w:type="character" w:styleId="27">
    <w:name w:val="Emphasis"/>
    <w:basedOn w:val="24"/>
    <w:qFormat/>
    <w:uiPriority w:val="0"/>
  </w:style>
  <w:style w:type="character" w:styleId="28">
    <w:name w:val="HTML Definition"/>
    <w:basedOn w:val="24"/>
    <w:qFormat/>
    <w:uiPriority w:val="0"/>
  </w:style>
  <w:style w:type="character" w:styleId="29">
    <w:name w:val="HTML Acronym"/>
    <w:basedOn w:val="24"/>
    <w:qFormat/>
    <w:uiPriority w:val="0"/>
  </w:style>
  <w:style w:type="character" w:styleId="30">
    <w:name w:val="HTML Variable"/>
    <w:basedOn w:val="24"/>
    <w:qFormat/>
    <w:uiPriority w:val="0"/>
  </w:style>
  <w:style w:type="character" w:styleId="31">
    <w:name w:val="Hyperlink"/>
    <w:basedOn w:val="24"/>
    <w:qFormat/>
    <w:uiPriority w:val="0"/>
    <w:rPr>
      <w:color w:val="000000"/>
      <w:u w:val="none"/>
    </w:rPr>
  </w:style>
  <w:style w:type="character" w:styleId="32">
    <w:name w:val="HTML Code"/>
    <w:basedOn w:val="24"/>
    <w:qFormat/>
    <w:uiPriority w:val="0"/>
    <w:rPr>
      <w:rFonts w:ascii="Courier New" w:hAnsi="Courier New"/>
      <w:sz w:val="20"/>
    </w:rPr>
  </w:style>
  <w:style w:type="character" w:styleId="33">
    <w:name w:val="annotation reference"/>
    <w:basedOn w:val="24"/>
    <w:qFormat/>
    <w:uiPriority w:val="0"/>
    <w:rPr>
      <w:sz w:val="21"/>
      <w:szCs w:val="21"/>
    </w:rPr>
  </w:style>
  <w:style w:type="character" w:styleId="34">
    <w:name w:val="HTML Cite"/>
    <w:basedOn w:val="24"/>
    <w:qFormat/>
    <w:uiPriority w:val="0"/>
  </w:style>
  <w:style w:type="paragraph" w:customStyle="1" w:styleId="35">
    <w:name w:val="表格文字"/>
    <w:basedOn w:val="1"/>
    <w:next w:val="11"/>
    <w:qFormat/>
    <w:uiPriority w:val="0"/>
    <w:pPr>
      <w:adjustRightInd w:val="0"/>
      <w:spacing w:line="420" w:lineRule="atLeast"/>
      <w:jc w:val="left"/>
      <w:textAlignment w:val="baseline"/>
    </w:pPr>
    <w:rPr>
      <w:kern w:val="0"/>
    </w:rPr>
  </w:style>
  <w:style w:type="paragraph" w:customStyle="1" w:styleId="36">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37">
    <w:name w:val="列表段落1"/>
    <w:basedOn w:val="1"/>
    <w:qFormat/>
    <w:uiPriority w:val="34"/>
    <w:pPr>
      <w:ind w:firstLine="420" w:firstLineChars="200"/>
    </w:pPr>
    <w:rPr>
      <w:rFonts w:ascii="Calibri" w:hAnsi="Calibri"/>
      <w:szCs w:val="22"/>
    </w:rPr>
  </w:style>
  <w:style w:type="paragraph" w:customStyle="1" w:styleId="38">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39">
    <w:name w:val="列出段落1"/>
    <w:basedOn w:val="1"/>
    <w:qFormat/>
    <w:uiPriority w:val="0"/>
    <w:pPr>
      <w:ind w:firstLine="420" w:firstLineChars="200"/>
    </w:pPr>
    <w:rPr>
      <w:rFonts w:ascii="Calibri" w:hAnsi="Calibri"/>
      <w:kern w:val="0"/>
      <w:szCs w:val="20"/>
    </w:rPr>
  </w:style>
  <w:style w:type="paragraph" w:customStyle="1" w:styleId="40">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qFormat/>
    <w:uiPriority w:val="0"/>
    <w:rPr>
      <w:rFonts w:ascii="Times New Roman" w:hAnsi="Times New Roman" w:eastAsia="宋体" w:cs="Times New Roman"/>
      <w:sz w:val="21"/>
      <w:szCs w:val="22"/>
      <w:lang w:val="en-US" w:eastAsia="zh-CN" w:bidi="ar-SA"/>
    </w:rPr>
  </w:style>
  <w:style w:type="paragraph" w:customStyle="1" w:styleId="4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qFormat/>
    <w:uiPriority w:val="0"/>
    <w:pPr>
      <w:widowControl/>
      <w:jc w:val="left"/>
    </w:pPr>
    <w:rPr>
      <w:rFonts w:ascii="宋体" w:hAnsi="Courier New" w:eastAsiaTheme="minorEastAsia" w:cstheme="minorBidi"/>
      <w:szCs w:val="21"/>
    </w:rPr>
  </w:style>
  <w:style w:type="paragraph" w:customStyle="1" w:styleId="48">
    <w:name w:val="纯文本_0_1"/>
    <w:basedOn w:val="1"/>
    <w:qFormat/>
    <w:uiPriority w:val="0"/>
    <w:pPr>
      <w:widowControl/>
      <w:jc w:val="left"/>
    </w:pPr>
    <w:rPr>
      <w:rFonts w:ascii="宋体" w:hAnsi="Courier New" w:eastAsiaTheme="minorEastAsia" w:cstheme="minorBidi"/>
      <w:szCs w:val="21"/>
    </w:rPr>
  </w:style>
  <w:style w:type="paragraph" w:customStyle="1" w:styleId="4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批注文字 Char"/>
    <w:basedOn w:val="24"/>
    <w:link w:val="10"/>
    <w:qFormat/>
    <w:uiPriority w:val="0"/>
    <w:rPr>
      <w:rFonts w:ascii="Times New Roman" w:hAnsi="Times New Roman" w:eastAsia="宋体" w:cs="Times New Roman"/>
      <w:kern w:val="2"/>
      <w:sz w:val="21"/>
      <w:szCs w:val="24"/>
    </w:rPr>
  </w:style>
  <w:style w:type="character" w:customStyle="1" w:styleId="54">
    <w:name w:val="批注主题 Char"/>
    <w:basedOn w:val="53"/>
    <w:link w:val="20"/>
    <w:qFormat/>
    <w:uiPriority w:val="0"/>
    <w:rPr>
      <w:rFonts w:ascii="Times New Roman" w:hAnsi="Times New Roman" w:eastAsia="宋体" w:cs="Times New Roman"/>
      <w:b/>
      <w:bCs/>
      <w:kern w:val="2"/>
      <w:sz w:val="21"/>
      <w:szCs w:val="24"/>
    </w:rPr>
  </w:style>
  <w:style w:type="character" w:customStyle="1" w:styleId="55">
    <w:name w:val="批注框文本 Char"/>
    <w:basedOn w:val="24"/>
    <w:link w:val="15"/>
    <w:qFormat/>
    <w:uiPriority w:val="0"/>
    <w:rPr>
      <w:rFonts w:ascii="Times New Roman" w:hAnsi="Times New Roman" w:eastAsia="宋体" w:cs="Times New Roman"/>
      <w:kern w:val="2"/>
      <w:sz w:val="18"/>
      <w:szCs w:val="18"/>
    </w:rPr>
  </w:style>
  <w:style w:type="character" w:customStyle="1" w:styleId="56">
    <w:name w:val="正文文本缩进 Char"/>
    <w:basedOn w:val="24"/>
    <w:link w:val="3"/>
    <w:qFormat/>
    <w:uiPriority w:val="0"/>
    <w:rPr>
      <w:kern w:val="2"/>
      <w:sz w:val="21"/>
      <w:szCs w:val="24"/>
    </w:rPr>
  </w:style>
  <w:style w:type="character" w:customStyle="1" w:styleId="57">
    <w:name w:val="s1"/>
    <w:basedOn w:val="24"/>
    <w:qFormat/>
    <w:uiPriority w:val="0"/>
    <w:rPr>
      <w:rFonts w:ascii="Helvetica" w:hAnsi="Helvetica" w:eastAsia="Helvetica" w:cs="Helvetica"/>
      <w:sz w:val="24"/>
      <w:szCs w:val="24"/>
    </w:rPr>
  </w:style>
  <w:style w:type="paragraph" w:customStyle="1" w:styleId="58">
    <w:name w:val="p2"/>
    <w:basedOn w:val="1"/>
    <w:qFormat/>
    <w:uiPriority w:val="0"/>
    <w:pPr>
      <w:jc w:val="left"/>
    </w:pPr>
    <w:rPr>
      <w:rFonts w:ascii="pingfang sc" w:hAnsi="pingfang sc" w:eastAsia="pingfang sc"/>
      <w:kern w:val="0"/>
      <w:sz w:val="24"/>
    </w:rPr>
  </w:style>
  <w:style w:type="paragraph" w:customStyle="1" w:styleId="59">
    <w:name w:val="p1"/>
    <w:basedOn w:val="1"/>
    <w:qFormat/>
    <w:uiPriority w:val="0"/>
    <w:pPr>
      <w:jc w:val="left"/>
    </w:pPr>
    <w:rPr>
      <w:rFonts w:ascii="pingfang sc" w:hAnsi="pingfang sc" w:eastAsia="pingfang sc"/>
      <w:kern w:val="0"/>
      <w:sz w:val="24"/>
    </w:rPr>
  </w:style>
  <w:style w:type="paragraph" w:customStyle="1" w:styleId="60">
    <w:name w:val="Char"/>
    <w:basedOn w:val="1"/>
    <w:qFormat/>
    <w:uiPriority w:val="0"/>
    <w:pPr>
      <w:spacing w:line="440" w:lineRule="exact"/>
      <w:ind w:left="510" w:firstLine="480" w:firstLineChars="200"/>
    </w:pPr>
    <w:rPr>
      <w:rFonts w:ascii="宋体" w:hAnsi="宋体"/>
      <w:sz w:val="24"/>
    </w:rPr>
  </w:style>
  <w:style w:type="character" w:customStyle="1" w:styleId="61">
    <w:name w:val="font01"/>
    <w:basedOn w:val="24"/>
    <w:qFormat/>
    <w:uiPriority w:val="0"/>
    <w:rPr>
      <w:rFonts w:hint="eastAsia" w:ascii="宋体" w:hAnsi="宋体" w:eastAsia="宋体" w:cs="宋体"/>
      <w:b/>
      <w:color w:val="000000"/>
      <w:sz w:val="24"/>
      <w:szCs w:val="24"/>
      <w:u w:val="none"/>
    </w:rPr>
  </w:style>
  <w:style w:type="character" w:customStyle="1" w:styleId="62">
    <w:name w:val="font21"/>
    <w:basedOn w:val="24"/>
    <w:qFormat/>
    <w:uiPriority w:val="0"/>
    <w:rPr>
      <w:rFonts w:hint="eastAsia" w:ascii="宋体" w:hAnsi="宋体" w:eastAsia="宋体" w:cs="宋体"/>
      <w:color w:val="000000"/>
      <w:sz w:val="24"/>
      <w:szCs w:val="24"/>
      <w:u w:val="none"/>
    </w:rPr>
  </w:style>
  <w:style w:type="character" w:customStyle="1" w:styleId="63">
    <w:name w:val="text-overflow"/>
    <w:basedOn w:val="24"/>
    <w:qFormat/>
    <w:uiPriority w:val="0"/>
  </w:style>
  <w:style w:type="character" w:customStyle="1" w:styleId="64">
    <w:name w:val="text-overflow1"/>
    <w:basedOn w:val="24"/>
    <w:qFormat/>
    <w:uiPriority w:val="0"/>
  </w:style>
  <w:style w:type="character" w:customStyle="1" w:styleId="65">
    <w:name w:val="publishtime"/>
    <w:basedOn w:val="24"/>
    <w:qFormat/>
    <w:uiPriority w:val="0"/>
    <w:rPr>
      <w:color w:val="999999"/>
    </w:rPr>
  </w:style>
  <w:style w:type="character" w:customStyle="1" w:styleId="66">
    <w:name w:val="publishtime1"/>
    <w:basedOn w:val="24"/>
    <w:qFormat/>
    <w:uiPriority w:val="0"/>
    <w:rPr>
      <w:color w:val="666666"/>
    </w:rPr>
  </w:style>
  <w:style w:type="character" w:customStyle="1" w:styleId="67">
    <w:name w:val="first-child"/>
    <w:basedOn w:val="24"/>
    <w:qFormat/>
    <w:uiPriority w:val="0"/>
  </w:style>
  <w:style w:type="character" w:customStyle="1" w:styleId="68">
    <w:name w:val="hover9"/>
    <w:basedOn w:val="24"/>
    <w:qFormat/>
    <w:uiPriority w:val="0"/>
    <w:rPr>
      <w:color w:val="23527C"/>
      <w:shd w:val="clear" w:color="auto" w:fill="EEEEEE"/>
    </w:rPr>
  </w:style>
  <w:style w:type="character" w:customStyle="1" w:styleId="69">
    <w:name w:val="hover10"/>
    <w:basedOn w:val="24"/>
    <w:qFormat/>
    <w:uiPriority w:val="0"/>
    <w:rPr>
      <w:color w:val="777777"/>
      <w:shd w:val="clear" w:color="auto" w:fill="FFFFFF"/>
    </w:rPr>
  </w:style>
  <w:style w:type="character" w:customStyle="1" w:styleId="70">
    <w:name w:val="second-line"/>
    <w:basedOn w:val="24"/>
    <w:qFormat/>
    <w:uiPriority w:val="0"/>
    <w:rPr>
      <w:color w:val="727272"/>
    </w:rPr>
  </w:style>
  <w:style w:type="character" w:customStyle="1" w:styleId="71">
    <w:name w:val="time"/>
    <w:basedOn w:val="24"/>
    <w:qFormat/>
    <w:uiPriority w:val="0"/>
    <w:rPr>
      <w:sz w:val="21"/>
      <w:szCs w:val="21"/>
    </w:rPr>
  </w:style>
  <w:style w:type="character" w:customStyle="1" w:styleId="72">
    <w:name w:val="focus2"/>
    <w:basedOn w:val="24"/>
    <w:qFormat/>
    <w:uiPriority w:val="0"/>
    <w:rPr>
      <w:color w:val="23527C"/>
      <w:shd w:val="clear" w:color="auto" w:fill="EEEEEE"/>
    </w:rPr>
  </w:style>
  <w:style w:type="character" w:customStyle="1" w:styleId="73">
    <w:name w:val="focus3"/>
    <w:basedOn w:val="24"/>
    <w:qFormat/>
    <w:uiPriority w:val="0"/>
    <w:rPr>
      <w:color w:val="777777"/>
      <w:shd w:val="clear" w:color="auto" w:fill="FFFFFF"/>
    </w:rPr>
  </w:style>
  <w:style w:type="character" w:customStyle="1" w:styleId="74">
    <w:name w:val="first-child1"/>
    <w:basedOn w:val="24"/>
    <w:qFormat/>
    <w:uiPriority w:val="0"/>
  </w:style>
  <w:style w:type="character" w:customStyle="1" w:styleId="75">
    <w:name w:val="focus"/>
    <w:basedOn w:val="24"/>
    <w:qFormat/>
    <w:uiPriority w:val="0"/>
    <w:rPr>
      <w:color w:val="23527C"/>
      <w:shd w:val="clear" w:color="auto" w:fill="EEEEEE"/>
    </w:rPr>
  </w:style>
  <w:style w:type="character" w:customStyle="1" w:styleId="76">
    <w:name w:val="focus1"/>
    <w:basedOn w:val="24"/>
    <w:qFormat/>
    <w:uiPriority w:val="0"/>
    <w:rPr>
      <w:color w:val="777777"/>
      <w:shd w:val="clear" w:color="auto" w:fill="FFFFFF"/>
    </w:rPr>
  </w:style>
  <w:style w:type="character" w:customStyle="1" w:styleId="77">
    <w:name w:val="hover35"/>
    <w:basedOn w:val="24"/>
    <w:qFormat/>
    <w:uiPriority w:val="0"/>
    <w:rPr>
      <w:color w:val="3EAF0E"/>
    </w:rPr>
  </w:style>
  <w:style w:type="character" w:customStyle="1" w:styleId="78">
    <w:name w:val="mr-prof"/>
    <w:basedOn w:val="24"/>
    <w:qFormat/>
    <w:uiPriority w:val="0"/>
  </w:style>
  <w:style w:type="character" w:customStyle="1" w:styleId="79">
    <w:name w:val="s16"/>
    <w:basedOn w:val="24"/>
    <w:qFormat/>
    <w:uiPriority w:val="0"/>
    <w:rPr>
      <w:color w:val="DDDDDD"/>
      <w:sz w:val="18"/>
      <w:szCs w:val="18"/>
    </w:rPr>
  </w:style>
  <w:style w:type="character" w:customStyle="1" w:styleId="80">
    <w:name w:val="hover33"/>
    <w:basedOn w:val="24"/>
    <w:qFormat/>
    <w:uiPriority w:val="0"/>
    <w:rPr>
      <w:color w:val="3EAF0E"/>
    </w:rPr>
  </w:style>
  <w:style w:type="character" w:customStyle="1" w:styleId="81">
    <w:name w:val="hover31"/>
    <w:basedOn w:val="24"/>
    <w:qFormat/>
    <w:uiPriority w:val="0"/>
    <w:rPr>
      <w:color w:val="3EAF0E"/>
    </w:rPr>
  </w:style>
  <w:style w:type="paragraph" w:customStyle="1" w:styleId="82">
    <w:name w:val="_Style 2"/>
    <w:basedOn w:val="1"/>
    <w:qFormat/>
    <w:uiPriority w:val="99"/>
    <w:pPr>
      <w:adjustRightInd w:val="0"/>
      <w:snapToGrid w:val="0"/>
    </w:pPr>
    <w:rPr>
      <w:rFonts w:ascii="Tahoma" w:hAnsi="Tahoma" w:eastAsia="微软雅黑" w:cs="Tahoma"/>
      <w:sz w:val="22"/>
      <w:szCs w:val="22"/>
    </w:rPr>
  </w:style>
  <w:style w:type="character" w:customStyle="1" w:styleId="83">
    <w:name w:val="r-text"/>
    <w:basedOn w:val="24"/>
    <w:qFormat/>
    <w:uiPriority w:val="0"/>
    <w:rPr>
      <w:color w:val="00349B"/>
    </w:rPr>
  </w:style>
  <w:style w:type="character" w:customStyle="1" w:styleId="84">
    <w:name w:val="r-time"/>
    <w:basedOn w:val="24"/>
    <w:qFormat/>
    <w:uiPriority w:val="0"/>
    <w:rPr>
      <w:color w:val="B30000"/>
    </w:rPr>
  </w:style>
  <w:style w:type="character" w:customStyle="1" w:styleId="85">
    <w:name w:val="index-headcontent-0ccba"/>
    <w:basedOn w:val="24"/>
    <w:qFormat/>
    <w:uiPriority w:val="0"/>
    <w:rPr>
      <w:vanish/>
    </w:rPr>
  </w:style>
  <w:style w:type="character" w:customStyle="1" w:styleId="86">
    <w:name w:val="index-name-935ff"/>
    <w:basedOn w:val="24"/>
    <w:qFormat/>
    <w:uiPriority w:val="0"/>
    <w:rPr>
      <w:sz w:val="24"/>
      <w:szCs w:val="24"/>
    </w:rPr>
  </w:style>
  <w:style w:type="character" w:customStyle="1" w:styleId="87">
    <w:name w:val="hover36"/>
    <w:basedOn w:val="24"/>
    <w:qFormat/>
    <w:uiPriority w:val="0"/>
    <w:rPr>
      <w:color w:val="1632EF"/>
      <w:u w:val="single"/>
    </w:rPr>
  </w:style>
  <w:style w:type="character" w:customStyle="1" w:styleId="88">
    <w:name w:val="hover37"/>
    <w:basedOn w:val="24"/>
    <w:qFormat/>
    <w:uiPriority w:val="0"/>
    <w:rPr>
      <w:shd w:val="clear" w:color="auto" w:fill="F6F6F6"/>
    </w:rPr>
  </w:style>
  <w:style w:type="character" w:customStyle="1" w:styleId="89">
    <w:name w:val="hover38"/>
    <w:basedOn w:val="24"/>
    <w:qFormat/>
    <w:uiPriority w:val="0"/>
    <w:rPr>
      <w:color w:val="3C88FF"/>
    </w:rPr>
  </w:style>
  <w:style w:type="character" w:customStyle="1" w:styleId="90">
    <w:name w:val="hover39"/>
    <w:basedOn w:val="24"/>
    <w:qFormat/>
    <w:uiPriority w:val="0"/>
    <w:rPr>
      <w:color w:val="1632EF"/>
      <w:u w:val="single"/>
    </w:rPr>
  </w:style>
  <w:style w:type="character" w:customStyle="1" w:styleId="91">
    <w:name w:val="nth-child(1)1"/>
    <w:basedOn w:val="24"/>
    <w:qFormat/>
    <w:uiPriority w:val="0"/>
  </w:style>
  <w:style w:type="character" w:customStyle="1" w:styleId="92">
    <w:name w:val="nth-child(1)2"/>
    <w:basedOn w:val="24"/>
    <w:qFormat/>
    <w:uiPriority w:val="0"/>
  </w:style>
  <w:style w:type="character" w:customStyle="1" w:styleId="93">
    <w:name w:val="text"/>
    <w:basedOn w:val="24"/>
    <w:qFormat/>
    <w:uiPriority w:val="0"/>
    <w:rPr>
      <w:color w:val="666666"/>
    </w:rPr>
  </w:style>
  <w:style w:type="character" w:customStyle="1" w:styleId="94">
    <w:name w:val="text1"/>
    <w:basedOn w:val="24"/>
    <w:qFormat/>
    <w:uiPriority w:val="0"/>
    <w:rPr>
      <w:color w:val="666666"/>
    </w:rPr>
  </w:style>
  <w:style w:type="character" w:customStyle="1" w:styleId="95">
    <w:name w:val="back"/>
    <w:basedOn w:val="24"/>
    <w:qFormat/>
    <w:uiPriority w:val="0"/>
    <w:rPr>
      <w:shd w:val="clear" w:color="auto" w:fill="111111"/>
    </w:rPr>
  </w:style>
  <w:style w:type="character" w:customStyle="1" w:styleId="96">
    <w:name w:val="back1"/>
    <w:basedOn w:val="24"/>
    <w:qFormat/>
    <w:uiPriority w:val="0"/>
    <w:rPr>
      <w:shd w:val="clear" w:color="auto" w:fill="111111"/>
    </w:rPr>
  </w:style>
  <w:style w:type="character" w:customStyle="1" w:styleId="97">
    <w:name w:val="nth-child(1)"/>
    <w:basedOn w:val="24"/>
    <w:qFormat/>
    <w:uiPriority w:val="0"/>
  </w:style>
  <w:style w:type="paragraph" w:customStyle="1" w:styleId="98">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99">
    <w:name w:val="List Paragraph"/>
    <w:basedOn w:val="1"/>
    <w:qFormat/>
    <w:uiPriority w:val="34"/>
    <w:pPr>
      <w:ind w:firstLine="420" w:firstLineChars="200"/>
    </w:pPr>
  </w:style>
  <w:style w:type="paragraph" w:customStyle="1" w:styleId="100">
    <w:name w:val="p0"/>
    <w:basedOn w:val="1"/>
    <w:qFormat/>
    <w:uiPriority w:val="0"/>
    <w:pPr>
      <w:widowControl/>
    </w:pPr>
    <w:rPr>
      <w:rFonts w:ascii="Calibri" w:hAnsi="Calibri" w:cs="宋体"/>
      <w:kern w:val="0"/>
      <w:szCs w:val="21"/>
    </w:rPr>
  </w:style>
  <w:style w:type="character" w:customStyle="1" w:styleId="101">
    <w:name w:val="正文文本 Char"/>
    <w:basedOn w:val="24"/>
    <w:link w:val="11"/>
    <w:qFormat/>
    <w:uiPriority w:val="0"/>
    <w:rPr>
      <w:kern w:val="2"/>
      <w:sz w:val="21"/>
      <w:szCs w:val="24"/>
    </w:rPr>
  </w:style>
  <w:style w:type="character" w:customStyle="1" w:styleId="102">
    <w:name w:val="纯文本 Char"/>
    <w:basedOn w:val="24"/>
    <w:link w:val="13"/>
    <w:qFormat/>
    <w:uiPriority w:val="0"/>
    <w:rPr>
      <w:rFonts w:hint="eastAsia" w:ascii="宋体" w:hAnsi="Courier New" w:eastAsia="宋体" w:cs="Times New Roman"/>
      <w:kern w:val="2"/>
      <w:sz w:val="21"/>
      <w:szCs w:val="24"/>
    </w:rPr>
  </w:style>
  <w:style w:type="character" w:customStyle="1" w:styleId="103">
    <w:name w:val="正文首行缩进 2 Char"/>
    <w:basedOn w:val="56"/>
    <w:link w:val="2"/>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E89AC-8DBF-47C5-BAB5-EC9D6D577E5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92</Pages>
  <Words>7007</Words>
  <Characters>39943</Characters>
  <Lines>332</Lines>
  <Paragraphs>93</Paragraphs>
  <TotalTime>60</TotalTime>
  <ScaleCrop>false</ScaleCrop>
  <LinksUpToDate>false</LinksUpToDate>
  <CharactersWithSpaces>46857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2012-12-12T02:11:00Z</dcterms:created>
  <dc:creator>S-mile</dc:creator>
  <cp:lastModifiedBy>Administrator</cp:lastModifiedBy>
  <cp:lastPrinted>2020-05-07T01:05:00Z</cp:lastPrinted>
  <dcterms:modified xsi:type="dcterms:W3CDTF">2020-06-16T07:47:11Z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