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keepNext w:val="0"/>
        <w:keepLines w:val="0"/>
        <w:widowControl/>
        <w:suppressLineNumbers w:val="0"/>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640" w:firstLineChars="200"/>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2"/>
          <w:szCs w:val="32"/>
          <w:lang w:val="en-US" w:eastAsia="zh-CN"/>
        </w:rPr>
        <w:t>项目编号：</w:t>
      </w:r>
      <w:r>
        <w:rPr>
          <w:rFonts w:hint="default" w:ascii="Times New Roman" w:hAnsi="Times New Roman" w:cs="Times New Roman"/>
          <w:color w:val="auto"/>
          <w:kern w:val="0"/>
          <w:sz w:val="32"/>
          <w:szCs w:val="32"/>
          <w:lang w:eastAsia="zh-CN"/>
        </w:rPr>
        <w:t>DDZX2021-Y-GK-12</w:t>
      </w:r>
    </w:p>
    <w:p>
      <w:pPr>
        <w:keepNext w:val="0"/>
        <w:keepLines w:val="0"/>
        <w:pageBreakBefore w:val="0"/>
        <w:widowControl w:val="0"/>
        <w:kinsoku/>
        <w:wordWrap/>
        <w:overflowPunct/>
        <w:topLinePunct w:val="0"/>
        <w:autoSpaceDE w:val="0"/>
        <w:autoSpaceDN w:val="0"/>
        <w:bidi w:val="0"/>
        <w:adjustRightInd w:val="0"/>
        <w:snapToGrid/>
        <w:spacing w:line="900" w:lineRule="exact"/>
        <w:ind w:left="2238" w:leftChars="304" w:hanging="1600" w:hangingChars="500"/>
        <w:jc w:val="both"/>
        <w:textAlignment w:val="auto"/>
        <w:rPr>
          <w:rFonts w:hint="default" w:ascii="Times New Roman" w:hAnsi="Times New Roman" w:cs="Times New Roman"/>
          <w:color w:val="auto"/>
          <w:kern w:val="0"/>
          <w:sz w:val="28"/>
          <w:szCs w:val="28"/>
          <w:lang w:eastAsia="zh-CN"/>
        </w:rPr>
      </w:pPr>
      <w:r>
        <w:rPr>
          <w:rFonts w:hint="default" w:ascii="Times New Roman" w:hAnsi="Times New Roman" w:cs="Times New Roman"/>
          <w:color w:val="auto"/>
          <w:kern w:val="0"/>
          <w:sz w:val="32"/>
          <w:szCs w:val="32"/>
        </w:rPr>
        <w:t>采购项目</w:t>
      </w:r>
      <w:r>
        <w:rPr>
          <w:rFonts w:hint="default" w:ascii="Times New Roman" w:hAnsi="Times New Roman" w:cs="Times New Roman"/>
          <w:color w:val="auto"/>
          <w:kern w:val="0"/>
          <w:sz w:val="32"/>
          <w:szCs w:val="32"/>
          <w:lang w:eastAsia="zh-CN"/>
        </w:rPr>
        <w:t>：</w:t>
      </w:r>
      <w:r>
        <w:rPr>
          <w:rFonts w:hint="default" w:ascii="Times New Roman" w:hAnsi="Times New Roman" w:cs="Times New Roman"/>
          <w:color w:val="auto"/>
          <w:kern w:val="0"/>
          <w:sz w:val="28"/>
          <w:szCs w:val="28"/>
          <w:lang w:eastAsia="zh-CN"/>
        </w:rPr>
        <w:t>玉环漩门湾湿地公园主入口停车场至3号地至5号地至东入口延伸</w:t>
      </w:r>
      <w:r>
        <w:rPr>
          <w:rFonts w:hint="default" w:ascii="Times New Roman" w:hAnsi="Times New Roman" w:cs="Times New Roman"/>
          <w:color w:val="auto"/>
          <w:kern w:val="0"/>
          <w:sz w:val="28"/>
          <w:szCs w:val="28"/>
          <w:lang w:val="en-US" w:eastAsia="zh-CN"/>
        </w:rPr>
        <w:t>一</w:t>
      </w:r>
      <w:r>
        <w:rPr>
          <w:rFonts w:hint="default" w:ascii="Times New Roman" w:hAnsi="Times New Roman" w:cs="Times New Roman"/>
          <w:color w:val="auto"/>
          <w:kern w:val="0"/>
          <w:sz w:val="28"/>
          <w:szCs w:val="28"/>
          <w:lang w:eastAsia="zh-CN"/>
        </w:rPr>
        <w:t>公里保洁及垃圾清运项目</w:t>
      </w:r>
    </w:p>
    <w:p>
      <w:pPr>
        <w:keepNext w:val="0"/>
        <w:keepLines w:val="0"/>
        <w:pageBreakBefore w:val="0"/>
        <w:widowControl w:val="0"/>
        <w:kinsoku/>
        <w:wordWrap/>
        <w:overflowPunct/>
        <w:topLinePunct w:val="0"/>
        <w:autoSpaceDE w:val="0"/>
        <w:autoSpaceDN w:val="0"/>
        <w:bidi w:val="0"/>
        <w:adjustRightInd w:val="0"/>
        <w:snapToGrid/>
        <w:spacing w:line="900" w:lineRule="exact"/>
        <w:ind w:firstLine="640" w:firstLineChars="200"/>
        <w:jc w:val="both"/>
        <w:textAlignment w:val="auto"/>
        <w:rPr>
          <w:rFonts w:hint="default" w:ascii="Times New Roman" w:hAnsi="Times New Roman" w:cs="Times New Roman"/>
          <w:color w:val="auto"/>
          <w:kern w:val="0"/>
          <w:sz w:val="24"/>
          <w:szCs w:val="22"/>
        </w:rPr>
      </w:pPr>
      <w:r>
        <w:rPr>
          <w:rFonts w:hint="default" w:ascii="Times New Roman" w:hAnsi="Times New Roman" w:cs="Times New Roman"/>
          <w:color w:val="auto"/>
          <w:kern w:val="0"/>
          <w:sz w:val="32"/>
          <w:szCs w:val="32"/>
        </w:rPr>
        <w:t>采</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rPr>
        <w:t>购</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人</w:t>
      </w:r>
      <w:r>
        <w:rPr>
          <w:rFonts w:hint="default" w:ascii="Times New Roman" w:hAnsi="Times New Roman" w:cs="Times New Roman"/>
          <w:color w:val="auto"/>
          <w:kern w:val="0"/>
          <w:sz w:val="32"/>
          <w:szCs w:val="32"/>
        </w:rPr>
        <w:t>：</w:t>
      </w:r>
      <w:r>
        <w:rPr>
          <w:rFonts w:hint="default" w:ascii="Times New Roman" w:hAnsi="Times New Roman" w:cs="Times New Roman"/>
          <w:color w:val="auto"/>
          <w:kern w:val="0"/>
          <w:sz w:val="32"/>
          <w:szCs w:val="32"/>
          <w:lang w:eastAsia="zh-CN"/>
        </w:rPr>
        <w:t>玉环市旅游集团有限公司</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6"/>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二O二一</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七</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3" w:bottom="1440" w:left="1800" w:header="851" w:footer="771" w:gutter="0"/>
          <w:pgBorders>
            <w:top w:val="none" w:sz="0" w:space="0"/>
            <w:left w:val="none" w:sz="0" w:space="0"/>
            <w:bottom w:val="none" w:sz="0" w:space="0"/>
            <w:right w:val="none" w:sz="0" w:space="0"/>
          </w:pgBorders>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964" w:hanging="601"/>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 公开</w:t>
      </w:r>
      <w:r>
        <w:rPr>
          <w:rFonts w:hint="default" w:ascii="Times New Roman" w:hAnsi="Times New Roman" w:cs="Times New Roman" w:eastAsiaTheme="majorEastAsia"/>
          <w:b/>
          <w:color w:val="auto"/>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wordWrap w:val="0"/>
        <w:snapToGrid w:val="0"/>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根据《玉环市国有企业采购管理办法》有关规定，</w:t>
      </w:r>
      <w:r>
        <w:rPr>
          <w:rFonts w:hint="default" w:ascii="Times New Roman" w:hAnsi="Times New Roman" w:cs="Times New Roman"/>
          <w:color w:val="auto"/>
          <w:kern w:val="0"/>
          <w:szCs w:val="21"/>
        </w:rPr>
        <w:t>经玉环市财政局国有资产监督管理科批准，</w:t>
      </w:r>
      <w:r>
        <w:rPr>
          <w:rFonts w:hint="default" w:ascii="Times New Roman" w:hAnsi="Times New Roman" w:cs="Times New Roman"/>
          <w:kern w:val="0"/>
          <w:szCs w:val="21"/>
        </w:rPr>
        <w:t>大地工程咨询有限公司受采购人委托，现就</w:t>
      </w:r>
      <w:r>
        <w:rPr>
          <w:rFonts w:hint="default" w:ascii="Times New Roman" w:hAnsi="Times New Roman" w:cs="Times New Roman" w:eastAsiaTheme="minorEastAsia"/>
          <w:color w:val="auto"/>
          <w:kern w:val="0"/>
          <w:sz w:val="21"/>
          <w:szCs w:val="21"/>
          <w:lang w:eastAsia="zh-CN"/>
        </w:rPr>
        <w:t>玉环市旅游集团有限公司玉环漩门湾湿地公园主入口停车场至3号地至5号地至东入口延伸-公里保洁及垃圾清运项目</w:t>
      </w:r>
      <w:r>
        <w:rPr>
          <w:rFonts w:hint="default" w:ascii="Times New Roman" w:hAnsi="Times New Roman" w:cs="Times New Roman" w:eastAsiaTheme="minorEastAsia"/>
          <w:color w:val="auto"/>
          <w:kern w:val="0"/>
          <w:sz w:val="21"/>
          <w:szCs w:val="21"/>
        </w:rPr>
        <w:t>进行公开招标采购</w:t>
      </w:r>
      <w:r>
        <w:rPr>
          <w:rFonts w:hint="default" w:ascii="Times New Roman" w:hAnsi="Times New Roman" w:cs="Times New Roman"/>
          <w:kern w:val="0"/>
          <w:szCs w:val="21"/>
        </w:rPr>
        <w:t>，欢迎合格供应商前来投标。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DDZX2021-Y-GK-12</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20"/>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506"/>
        <w:gridCol w:w="1716"/>
        <w:gridCol w:w="734"/>
        <w:gridCol w:w="18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250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18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eastAsia"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rPr>
              <w:t>预算</w:t>
            </w:r>
            <w:r>
              <w:rPr>
                <w:rFonts w:hint="eastAsia" w:cs="Times New Roman" w:eastAsiaTheme="minorEastAsia"/>
                <w:b/>
                <w:color w:val="auto"/>
                <w:sz w:val="21"/>
                <w:szCs w:val="21"/>
                <w:lang w:val="en-US" w:eastAsia="zh-CN"/>
              </w:rPr>
              <w:t>金额</w:t>
            </w:r>
          </w:p>
        </w:tc>
        <w:tc>
          <w:tcPr>
            <w:tcW w:w="134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50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玉环漩门湾湿地公园主入口停车场至3号地至5号地至东入口延伸</w:t>
            </w:r>
            <w:r>
              <w:rPr>
                <w:rFonts w:hint="default" w:ascii="Times New Roman" w:hAnsi="Times New Roman" w:cs="Times New Roman" w:eastAsiaTheme="minorEastAsia"/>
                <w:color w:val="auto"/>
                <w:kern w:val="0"/>
                <w:sz w:val="21"/>
                <w:szCs w:val="21"/>
                <w:lang w:val="en-US" w:eastAsia="zh-CN"/>
              </w:rPr>
              <w:t>一</w:t>
            </w:r>
            <w:r>
              <w:rPr>
                <w:rFonts w:hint="default" w:ascii="Times New Roman" w:hAnsi="Times New Roman" w:cs="Times New Roman" w:eastAsiaTheme="minorEastAsia"/>
                <w:color w:val="auto"/>
                <w:kern w:val="0"/>
                <w:sz w:val="21"/>
                <w:szCs w:val="21"/>
                <w:lang w:eastAsia="zh-CN"/>
              </w:rPr>
              <w:t>公里保洁及垃圾清运项目</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1"/>
                <w:szCs w:val="21"/>
                <w:lang w:val="en-US" w:eastAsia="zh-CN" w:bidi="ar"/>
              </w:rPr>
              <w:t>具体要求详见采购文件第四章</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1项</w:t>
            </w:r>
          </w:p>
        </w:tc>
        <w:tc>
          <w:tcPr>
            <w:tcW w:w="18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69</w:t>
            </w:r>
            <w:r>
              <w:rPr>
                <w:rFonts w:hint="eastAsia" w:cs="Times New Roman"/>
                <w:color w:val="auto"/>
                <w:kern w:val="2"/>
                <w:sz w:val="21"/>
                <w:szCs w:val="21"/>
                <w:lang w:val="en-US" w:eastAsia="zh-CN" w:bidi="ar"/>
              </w:rPr>
              <w:t>.00</w:t>
            </w:r>
            <w:r>
              <w:rPr>
                <w:rFonts w:hint="default" w:ascii="Times New Roman" w:hAnsi="Times New Roman" w:cs="Times New Roman"/>
                <w:color w:val="auto"/>
                <w:kern w:val="2"/>
                <w:sz w:val="21"/>
                <w:szCs w:val="21"/>
                <w:lang w:val="en-US" w:eastAsia="zh-CN" w:bidi="ar"/>
              </w:rPr>
              <w:t xml:space="preserve">万元          </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34.5</w:t>
            </w:r>
            <w:r>
              <w:rPr>
                <w:rFonts w:hint="eastAsia" w:cs="Times New Roman"/>
                <w:color w:val="auto"/>
                <w:kern w:val="2"/>
                <w:sz w:val="21"/>
                <w:szCs w:val="21"/>
                <w:lang w:val="en-US" w:eastAsia="zh-CN" w:bidi="ar"/>
              </w:rPr>
              <w:t>0</w:t>
            </w:r>
            <w:r>
              <w:rPr>
                <w:rFonts w:hint="default" w:ascii="Times New Roman" w:hAnsi="Times New Roman" w:eastAsia="宋体" w:cs="Times New Roman"/>
                <w:color w:val="auto"/>
                <w:kern w:val="2"/>
                <w:sz w:val="21"/>
                <w:szCs w:val="21"/>
                <w:lang w:val="en-US" w:eastAsia="zh-CN" w:bidi="ar"/>
              </w:rPr>
              <w:t>万元</w:t>
            </w:r>
            <w:r>
              <w:rPr>
                <w:rFonts w:hint="default" w:ascii="Times New Roman" w:hAnsi="Times New Roman" w:cs="Times New Roman"/>
                <w:color w:val="auto"/>
                <w:kern w:val="2"/>
                <w:sz w:val="21"/>
                <w:szCs w:val="21"/>
                <w:lang w:val="en-US" w:eastAsia="zh-CN" w:bidi="ar"/>
              </w:rPr>
              <w:t>/年</w:t>
            </w:r>
            <w:r>
              <w:rPr>
                <w:rFonts w:hint="default" w:ascii="Times New Roman" w:hAnsi="Times New Roman" w:eastAsia="宋体" w:cs="Times New Roman"/>
                <w:color w:val="auto"/>
                <w:kern w:val="2"/>
                <w:sz w:val="21"/>
                <w:szCs w:val="21"/>
                <w:lang w:val="en-US" w:eastAsia="zh-CN" w:bidi="ar"/>
              </w:rPr>
              <w:t>）</w:t>
            </w:r>
          </w:p>
        </w:tc>
        <w:tc>
          <w:tcPr>
            <w:tcW w:w="134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合同服务期2年</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三、合格投标人的资格条件：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（一）符合《中华人民共和国政府采购法》第二十二条规定的投标人资格条件。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二</w:t>
      </w:r>
      <w:r>
        <w:rPr>
          <w:rFonts w:hint="default" w:ascii="Times New Roman" w:hAnsi="Times New Roman" w:cs="Times New Roman"/>
          <w:szCs w:val="21"/>
        </w:rPr>
        <w:t>）未被“信用中国”(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)、“中国政府采购网”（http://www.ccgp.gov.cn/）列入失信被执行人、重大税收违法案件当事人名单、政府采购严重违法失信行为记录名单。</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（三）本项目投标人特定条件：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网上免费下载，下载地址为网上免费下载，下载地址为https://zfcg.czt.zj.gov.cn/</w:t>
      </w:r>
      <w:r>
        <w:rPr>
          <w:rFonts w:hint="default" w:ascii="Times New Roman" w:hAnsi="Times New Roman" w:cs="Times New Roman"/>
          <w:color w:val="auto"/>
          <w:kern w:val="2"/>
          <w:sz w:val="21"/>
          <w:szCs w:val="21"/>
          <w:lang w:val="en-US" w:eastAsia="zh-CN" w:bidi="ar"/>
        </w:rPr>
        <w:t>、http://ggzyjy.yuhuan.gov.cn/。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27</w:t>
      </w:r>
      <w:r>
        <w:rPr>
          <w:rFonts w:hint="default" w:ascii="Times New Roman" w:hAnsi="Times New Roman" w:cs="Times New Roman" w:eastAsiaTheme="minorEastAsia"/>
          <w:color w:val="auto"/>
          <w:sz w:val="21"/>
          <w:szCs w:val="21"/>
        </w:rPr>
        <w:t>日至</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日</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上午：8:30-12:00      下午</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14</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0-1</w:t>
      </w: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0</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报名地点：</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报名时</w:t>
      </w:r>
      <w:r>
        <w:rPr>
          <w:rFonts w:hint="default" w:ascii="Times New Roman" w:hAnsi="Times New Roman" w:eastAsia="宋体" w:cs="Times New Roman"/>
          <w:color w:val="auto"/>
          <w:sz w:val="21"/>
          <w:szCs w:val="21"/>
        </w:rPr>
        <w:t>时应提交的资料：①</w:t>
      </w:r>
      <w:r>
        <w:rPr>
          <w:rFonts w:hint="default" w:ascii="Times New Roman" w:hAnsi="Times New Roman" w:eastAsia="宋体" w:cs="Times New Roman"/>
          <w:color w:val="auto"/>
          <w:sz w:val="21"/>
          <w:szCs w:val="21"/>
          <w:lang w:val="en-US" w:eastAsia="zh-CN"/>
        </w:rPr>
        <w:t>采购报名申请表</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②</w:t>
      </w:r>
      <w:r>
        <w:rPr>
          <w:rFonts w:hint="default" w:ascii="Times New Roman" w:hAnsi="Times New Roman" w:eastAsia="宋体" w:cs="Times New Roman"/>
          <w:color w:val="auto"/>
          <w:sz w:val="21"/>
          <w:szCs w:val="21"/>
        </w:rPr>
        <w:t>营业执照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③</w:t>
      </w:r>
      <w:r>
        <w:rPr>
          <w:rFonts w:hint="default" w:ascii="Times New Roman" w:hAnsi="Times New Roman" w:eastAsia="宋体" w:cs="Times New Roman"/>
          <w:color w:val="auto"/>
          <w:sz w:val="21"/>
          <w:szCs w:val="21"/>
          <w:lang w:eastAsia="zh-CN"/>
        </w:rPr>
        <w:t>法定代表人</w:t>
      </w:r>
      <w:r>
        <w:rPr>
          <w:rFonts w:hint="default" w:ascii="Times New Roman" w:hAnsi="Times New Roman" w:eastAsia="宋体" w:cs="Times New Roman"/>
          <w:color w:val="auto"/>
          <w:sz w:val="21"/>
          <w:szCs w:val="21"/>
        </w:rPr>
        <w:t>授权委托书及</w:t>
      </w:r>
      <w:r>
        <w:rPr>
          <w:rFonts w:hint="default" w:ascii="Times New Roman" w:hAnsi="Times New Roman" w:eastAsia="宋体" w:cs="Times New Roman"/>
          <w:color w:val="auto"/>
          <w:sz w:val="21"/>
          <w:szCs w:val="21"/>
          <w:lang w:eastAsia="zh-CN"/>
        </w:rPr>
        <w:t>被授权人</w:t>
      </w:r>
      <w:r>
        <w:rPr>
          <w:rFonts w:hint="default" w:ascii="Times New Roman" w:hAnsi="Times New Roman" w:eastAsia="宋体" w:cs="Times New Roman"/>
          <w:color w:val="auto"/>
          <w:sz w:val="21"/>
          <w:szCs w:val="21"/>
        </w:rPr>
        <w:t>身份证复印件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eastAsia="zh-CN"/>
        </w:rPr>
        <w:fldChar w:fldCharType="begin"/>
      </w:r>
      <w:r>
        <w:rPr>
          <w:rFonts w:hint="default" w:ascii="Times New Roman" w:hAnsi="Times New Roman" w:eastAsia="宋体" w:cs="Times New Roman"/>
          <w:color w:val="auto"/>
          <w:kern w:val="0"/>
          <w:sz w:val="21"/>
          <w:szCs w:val="21"/>
          <w:lang w:eastAsia="zh-CN"/>
        </w:rPr>
        <w:instrText xml:space="preserve"> HYPERLINK "mailto:以上资料加盖单位公章发送扫描件至2429888213@qq.com，并与代理公司赵女士（0576-87237838）确认。" </w:instrText>
      </w:r>
      <w:r>
        <w:rPr>
          <w:rFonts w:hint="default" w:ascii="Times New Roman" w:hAnsi="Times New Roman" w:eastAsia="宋体" w:cs="Times New Roman"/>
          <w:color w:val="auto"/>
          <w:kern w:val="0"/>
          <w:sz w:val="21"/>
          <w:szCs w:val="21"/>
          <w:lang w:eastAsia="zh-CN"/>
        </w:rPr>
        <w:fldChar w:fldCharType="separate"/>
      </w:r>
      <w:r>
        <w:rPr>
          <w:rStyle w:val="26"/>
          <w:rFonts w:hint="default" w:ascii="Times New Roman" w:hAnsi="Times New Roman" w:eastAsia="宋体" w:cs="Times New Roman"/>
          <w:color w:val="auto"/>
          <w:kern w:val="0"/>
          <w:sz w:val="21"/>
          <w:szCs w:val="21"/>
          <w:lang w:eastAsia="zh-CN"/>
        </w:rPr>
        <w:t>以上资料加盖单位公章发送扫描件至2429888213@qq.com，并与代理公司赵女士（0576-87237838）确认。</w:t>
      </w:r>
      <w:r>
        <w:rPr>
          <w:rFonts w:hint="default" w:ascii="Times New Roman" w:hAnsi="Times New Roman" w:eastAsia="宋体" w:cs="Times New Roman"/>
          <w:color w:val="auto"/>
          <w:kern w:val="0"/>
          <w:sz w:val="21"/>
          <w:szCs w:val="21"/>
          <w:lang w:eastAsia="zh-CN"/>
        </w:rPr>
        <w:fldChar w:fldCharType="end"/>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五、招标答疑会：无。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lang w:eastAsia="zh-CN"/>
        </w:rPr>
        <w:t>六</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17</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日</w:t>
      </w:r>
      <w:r>
        <w:rPr>
          <w:rFonts w:hint="default" w:ascii="Times New Roman" w:hAnsi="Times New Roman" w:cs="Times New Roman" w:eastAsiaTheme="minorEastAsia"/>
          <w:color w:val="auto"/>
          <w:sz w:val="21"/>
          <w:szCs w:val="21"/>
          <w:lang w:eastAsia="zh-CN"/>
        </w:rPr>
        <w:t>上</w:t>
      </w:r>
      <w:r>
        <w:rPr>
          <w:rFonts w:hint="default" w:ascii="Times New Roman" w:hAnsi="Times New Roman" w:cs="Times New Roman" w:eastAsiaTheme="minorEastAsia"/>
          <w:color w:val="auto"/>
          <w:sz w:val="21"/>
          <w:szCs w:val="21"/>
        </w:rPr>
        <w:t>午</w:t>
      </w:r>
      <w:r>
        <w:rPr>
          <w:rFonts w:hint="default" w:ascii="Times New Roman" w:hAnsi="Times New Roman" w:cs="Times New Roman" w:eastAsiaTheme="minorEastAsia"/>
          <w:color w:val="auto"/>
          <w:sz w:val="21"/>
          <w:szCs w:val="21"/>
          <w:lang w:val="en-US" w:eastAsia="zh-CN"/>
        </w:rPr>
        <w:t>09</w:t>
      </w:r>
      <w:r>
        <w:rPr>
          <w:rFonts w:hint="default" w:ascii="Times New Roman" w:hAnsi="Times New Roman" w:cs="Times New Roman" w:eastAsiaTheme="minorEastAsia"/>
          <w:color w:val="auto"/>
          <w:sz w:val="21"/>
          <w:szCs w:val="21"/>
          <w:lang w:eastAsia="zh-CN"/>
        </w:rPr>
        <w:t>点</w:t>
      </w:r>
      <w:r>
        <w:rPr>
          <w:rFonts w:hint="default" w:ascii="Times New Roman" w:hAnsi="Times New Roman" w:cs="Times New Roman" w:eastAsiaTheme="minorEastAsia"/>
          <w:color w:val="auto"/>
          <w:sz w:val="21"/>
          <w:szCs w:val="21"/>
          <w:lang w:val="en-US" w:eastAsia="zh-CN"/>
        </w:rPr>
        <w:t>30分</w:t>
      </w:r>
      <w:r>
        <w:rPr>
          <w:rFonts w:hint="default" w:ascii="Times New Roman" w:hAnsi="Times New Roman" w:cs="Times New Roman" w:eastAsiaTheme="minorEastAsia"/>
          <w:color w:val="auto"/>
          <w:sz w:val="21"/>
          <w:szCs w:val="21"/>
        </w:rPr>
        <w:t>整在</w:t>
      </w:r>
      <w:r>
        <w:rPr>
          <w:rFonts w:hint="default" w:ascii="Times New Roman" w:hAnsi="Times New Roman" w:cs="Times New Roman" w:eastAsiaTheme="minorEastAsia"/>
          <w:color w:val="auto"/>
          <w:sz w:val="21"/>
          <w:szCs w:val="21"/>
          <w:lang w:val="en-US" w:eastAsia="zh-CN"/>
        </w:rPr>
        <w:t>玉环市公共资源交易中心二楼开标室（二）（玉环市玉城街道新城中路与长治路（南一路）交叉路口）开标，</w:t>
      </w:r>
      <w:r>
        <w:rPr>
          <w:rFonts w:hint="default" w:ascii="Times New Roman" w:hAnsi="Times New Roman" w:cs="Times New Roman" w:eastAsiaTheme="minorEastAsia"/>
          <w:color w:val="auto"/>
          <w:sz w:val="21"/>
          <w:szCs w:val="21"/>
        </w:rPr>
        <w:t>请在开标当日09:00至09:30将投标文件送达开标地点，逾期或不符合规定的投标文件恕不接受。</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七、投标保证金：本项目投标保证金为零。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八、投标人信用信息查询渠道及截止时点、信用信息查询记录和证据留存的具体方式、信用信息的使用规则：</w:t>
      </w:r>
      <w:bookmarkStart w:id="1" w:name="_GoBack"/>
      <w:bookmarkEnd w:id="1"/>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1、查询渠道：“信用中国”(</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"http://www.creditchina.gov.cn/"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www.creditchina.gov.cn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)；“中国政府采购网”（http://www.ccgp.gov.cn/）。</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2、截止时点：开标后评标前。</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3、信用信息查询记录和证据留存的具体方式：由采购组织机构在规定查询时间内打印信用信息查询记录并归入项目档案。</w:t>
      </w:r>
    </w:p>
    <w:p>
      <w:pPr>
        <w:keepNext w:val="0"/>
        <w:keepLines w:val="0"/>
        <w:pageBreakBefore w:val="0"/>
        <w:widowControl w:val="0"/>
        <w:kinsoku/>
        <w:wordWrap w:val="0"/>
        <w:overflowPunct/>
        <w:topLinePunct w:val="0"/>
        <w:autoSpaceDE/>
        <w:autoSpaceDN/>
        <w:bidi w:val="0"/>
        <w:adjustRightInd/>
        <w:snapToGrid w:val="0"/>
        <w:spacing w:line="32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投标人，将被拒绝其参与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九、相关注意事项：</w:t>
      </w:r>
    </w:p>
    <w:p>
      <w:pPr>
        <w:snapToGrid w:val="0"/>
        <w:spacing w:line="36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、本项目所有公告发布网站</w:t>
      </w:r>
      <w:r>
        <w:rPr>
          <w:rFonts w:hint="default" w:ascii="Times New Roman" w:hAnsi="Times New Roman" w:cs="Times New Roman"/>
          <w:bCs/>
          <w:color w:val="000000"/>
          <w:szCs w:val="21"/>
          <w:lang w:bidi="ar"/>
        </w:rPr>
        <w:t>：</w:t>
      </w:r>
      <w:r>
        <w:rPr>
          <w:rFonts w:hint="eastAsia" w:ascii="Times New Roman" w:hAnsi="Times New Roman" w:cs="Times New Roman"/>
          <w:bCs/>
          <w:color w:val="000000"/>
          <w:szCs w:val="21"/>
          <w:lang w:eastAsia="zh-CN" w:bidi="ar"/>
        </w:rPr>
        <w:t>“</w:t>
      </w:r>
      <w:r>
        <w:rPr>
          <w:rFonts w:hint="eastAsia" w:ascii="Times New Roman" w:hAnsi="Times New Roman" w:cs="Times New Roman"/>
          <w:bCs/>
          <w:color w:val="000000"/>
          <w:szCs w:val="21"/>
          <w:lang w:val="en-US" w:eastAsia="zh-CN" w:bidi="ar"/>
        </w:rPr>
        <w:t>浙江政府采购网</w:t>
      </w:r>
      <w:r>
        <w:rPr>
          <w:rFonts w:hint="eastAsia" w:ascii="Times New Roman" w:hAnsi="Times New Roman" w:cs="Times New Roman"/>
          <w:bCs/>
          <w:color w:val="000000"/>
          <w:szCs w:val="21"/>
          <w:lang w:eastAsia="zh-CN" w:bidi="ar"/>
        </w:rPr>
        <w:t>”（</w:t>
      </w:r>
      <w:r>
        <w:rPr>
          <w:rFonts w:hint="default" w:ascii="Times New Roman" w:hAnsi="Times New Roman" w:eastAsia="宋体" w:cs="Times New Roman"/>
          <w:color w:val="auto"/>
          <w:kern w:val="2"/>
          <w:sz w:val="21"/>
          <w:szCs w:val="21"/>
          <w:lang w:val="en-US" w:eastAsia="zh-CN" w:bidi="ar"/>
        </w:rPr>
        <w:t>https://zfcg.czt.zj.gov.cn/</w:t>
      </w:r>
      <w:r>
        <w:rPr>
          <w:rFonts w:hint="eastAsia" w:ascii="Times New Roman" w:hAnsi="Times New Roman" w:cs="Times New Roman"/>
          <w:bCs/>
          <w:color w:val="000000"/>
          <w:szCs w:val="21"/>
          <w:lang w:eastAsia="zh-CN" w:bidi="ar"/>
        </w:rPr>
        <w:t>）、</w:t>
      </w:r>
      <w:r>
        <w:rPr>
          <w:rFonts w:hint="default" w:ascii="Times New Roman" w:hAnsi="Times New Roman" w:cs="Times New Roman"/>
          <w:bCs/>
          <w:color w:val="000000"/>
          <w:szCs w:val="21"/>
          <w:lang w:bidi="ar"/>
        </w:rPr>
        <w:t>“玉环市公共资源交易中心”（</w:t>
      </w:r>
      <w:r>
        <w:rPr>
          <w:rFonts w:hint="default" w:ascii="Times New Roman" w:hAnsi="Times New Roman" w:eastAsia="宋体" w:cs="Times New Roman"/>
          <w:color w:val="auto"/>
          <w:sz w:val="21"/>
          <w:szCs w:val="21"/>
          <w:lang w:val="en-US" w:eastAsia="zh-CN"/>
        </w:rPr>
        <w:t>https://www.yhjyzx.com/home/index</w:t>
      </w:r>
      <w:r>
        <w:rPr>
          <w:rFonts w:hint="default" w:ascii="Times New Roman" w:hAnsi="Times New Roman" w:cs="Times New Roman"/>
          <w:bCs/>
          <w:color w:val="000000"/>
          <w:szCs w:val="21"/>
          <w:lang w:bidi="ar"/>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2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十、联系方式：</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right="0" w:firstLine="422" w:firstLineChars="200"/>
        <w:jc w:val="both"/>
        <w:textAlignment w:val="auto"/>
        <w:rPr>
          <w:rFonts w:hint="default" w:ascii="Times New Roman" w:hAnsi="Times New Roman" w:eastAsia="宋体"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（一）采购人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玉环市旅游集团有限公司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联系人：张先生</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 xml:space="preserve">联系电话：13586183611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snapToGrid w:val="0"/>
        <w:spacing w:line="360" w:lineRule="exact"/>
        <w:ind w:firstLine="525" w:firstLineChars="250"/>
        <w:rPr>
          <w:rFonts w:hint="default" w:ascii="Times New Roman" w:hAnsi="Times New Roman" w:cs="Times New Roman"/>
          <w:color w:val="auto"/>
          <w:szCs w:val="21"/>
          <w:lang w:val="en-US" w:eastAsia="zh-CN" w:bidi="ar"/>
        </w:rPr>
      </w:pPr>
      <w:r>
        <w:rPr>
          <w:rFonts w:hint="default" w:ascii="Times New Roman" w:hAnsi="Times New Roman" w:cs="Times New Roman"/>
          <w:color w:val="auto"/>
          <w:szCs w:val="21"/>
          <w:lang w:bidi="ar"/>
        </w:rPr>
        <w:t>联系人：</w:t>
      </w:r>
      <w:r>
        <w:rPr>
          <w:rFonts w:hint="default" w:ascii="Times New Roman" w:hAnsi="Times New Roman" w:cs="Times New Roman"/>
          <w:color w:val="auto"/>
          <w:szCs w:val="21"/>
          <w:lang w:val="en-US" w:eastAsia="zh-CN" w:bidi="ar"/>
        </w:rPr>
        <w:t>赵女士</w:t>
      </w:r>
    </w:p>
    <w:p>
      <w:pPr>
        <w:snapToGrid w:val="0"/>
        <w:spacing w:line="360" w:lineRule="exact"/>
        <w:ind w:firstLine="525" w:firstLineChars="25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bidi="ar"/>
        </w:rPr>
        <w:t>联系电话：0576-87237</w:t>
      </w:r>
      <w:r>
        <w:rPr>
          <w:rFonts w:hint="default" w:ascii="Times New Roman" w:hAnsi="Times New Roman" w:cs="Times New Roman"/>
          <w:color w:val="auto"/>
          <w:szCs w:val="21"/>
          <w:lang w:val="en-US" w:eastAsia="zh-CN" w:bidi="ar"/>
        </w:rPr>
        <w:t>838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名称：</w:t>
      </w:r>
      <w:r>
        <w:rPr>
          <w:rFonts w:hint="default" w:ascii="Times New Roman" w:hAnsi="Times New Roman" w:cs="Times New Roman"/>
          <w:color w:val="auto"/>
          <w:kern w:val="2"/>
          <w:sz w:val="21"/>
          <w:szCs w:val="21"/>
          <w:lang w:val="en-US" w:eastAsia="zh-CN" w:bidi="ar"/>
        </w:rPr>
        <w:t>玉环市人民政府国有资产监督管理办公室</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w:t>
      </w:r>
      <w:r>
        <w:rPr>
          <w:rFonts w:hint="default" w:ascii="Times New Roman" w:hAnsi="Times New Roman" w:eastAsia="宋体" w:cs="Times New Roman"/>
          <w:color w:val="auto"/>
          <w:kern w:val="2"/>
          <w:sz w:val="21"/>
          <w:szCs w:val="21"/>
          <w:lang w:val="en-US" w:eastAsia="zh-CN" w:bidi="ar"/>
        </w:rPr>
        <w:t>电话：0576-872501</w:t>
      </w:r>
      <w:r>
        <w:rPr>
          <w:rFonts w:hint="default" w:ascii="Times New Roman" w:hAnsi="Times New Roman" w:cs="Times New Roman"/>
          <w:color w:val="auto"/>
          <w:kern w:val="2"/>
          <w:sz w:val="21"/>
          <w:szCs w:val="21"/>
          <w:lang w:val="en-US" w:eastAsia="zh-CN" w:bidi="ar"/>
        </w:rPr>
        <w:t>57</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pStyle w:val="28"/>
        <w:rPr>
          <w:rFonts w:hint="default" w:ascii="Times New Roman" w:hAnsi="Times New Roman" w:cs="Times New Roman"/>
          <w:color w:val="auto"/>
          <w:lang w:val="en-US" w:eastAsia="zh-CN"/>
        </w:rPr>
      </w:pPr>
    </w:p>
    <w:p>
      <w:pPr>
        <w:pStyle w:val="28"/>
        <w:rPr>
          <w:rFonts w:hint="default" w:ascii="Times New Roman" w:hAnsi="Times New Roman" w:cs="Times New Roman"/>
          <w:color w:val="auto"/>
          <w:lang w:val="en-US" w:eastAsia="zh-CN"/>
        </w:rPr>
      </w:pPr>
    </w:p>
    <w:p>
      <w:pPr>
        <w:pStyle w:val="28"/>
        <w:rPr>
          <w:rFonts w:hint="default" w:ascii="Times New Roman" w:hAnsi="Times New Roman" w:cs="Times New Roman"/>
          <w:color w:val="auto"/>
          <w:lang w:val="en-US" w:eastAsia="zh-CN"/>
        </w:rPr>
      </w:pPr>
    </w:p>
    <w:p>
      <w:pPr>
        <w:pStyle w:val="28"/>
        <w:rPr>
          <w:rFonts w:hint="default" w:ascii="Times New Roman" w:hAnsi="Times New Roman" w:cs="Times New Roman"/>
          <w:color w:val="auto"/>
          <w:lang w:val="en-US" w:eastAsia="zh-CN"/>
        </w:rPr>
      </w:pPr>
    </w:p>
    <w:p>
      <w:pPr>
        <w:pStyle w:val="28"/>
        <w:rPr>
          <w:rFonts w:hint="default" w:ascii="Times New Roman" w:hAnsi="Times New Roman" w:cs="Times New Roman"/>
          <w:color w:val="auto"/>
          <w:lang w:val="en-US" w:eastAsia="zh-CN"/>
        </w:rPr>
      </w:pPr>
    </w:p>
    <w:tbl>
      <w:tblPr>
        <w:tblStyle w:val="20"/>
        <w:tblpPr w:leftFromText="180" w:rightFromText="180" w:vertAnchor="text" w:horzAnchor="page" w:tblpX="1162" w:tblpY="207"/>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7"/>
        <w:gridCol w:w="313"/>
        <w:gridCol w:w="3210"/>
        <w:gridCol w:w="1125"/>
        <w:gridCol w:w="1395"/>
        <w:gridCol w:w="465"/>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9577"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600" w:lineRule="exact"/>
              <w:ind w:left="0" w:right="0"/>
              <w:jc w:val="center"/>
              <w:textAlignment w:val="auto"/>
              <w:outlineLvl w:val="0"/>
              <w:rPr>
                <w:rFonts w:hint="default" w:ascii="Times New Roman" w:hAnsi="Times New Roman" w:cs="Times New Roman"/>
                <w:b/>
                <w:bCs/>
                <w:color w:val="auto"/>
                <w:kern w:val="0"/>
                <w:sz w:val="36"/>
                <w:szCs w:val="36"/>
              </w:rPr>
            </w:pPr>
            <w:r>
              <w:rPr>
                <w:rFonts w:hint="default" w:ascii="Times New Roman" w:hAnsi="Times New Roman" w:cs="Times New Roman"/>
                <w:b/>
                <w:bCs/>
                <w:color w:val="auto"/>
                <w:kern w:val="0"/>
                <w:sz w:val="36"/>
                <w:szCs w:val="36"/>
              </w:rPr>
              <w:t>采购报名申请表</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auto"/>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57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项目名称：</w:t>
            </w:r>
            <w:r>
              <w:rPr>
                <w:rFonts w:hint="default" w:ascii="Times New Roman" w:hAnsi="Times New Roman" w:cs="Times New Roman" w:eastAsiaTheme="minorEastAsia"/>
                <w:color w:val="auto"/>
                <w:kern w:val="0"/>
                <w:sz w:val="21"/>
                <w:szCs w:val="21"/>
                <w:lang w:eastAsia="zh-CN"/>
              </w:rPr>
              <w:t>玉环漩门湾湿地公园主入口停车场至3号地至5号地至东入口延伸</w:t>
            </w:r>
            <w:r>
              <w:rPr>
                <w:rFonts w:hint="default" w:ascii="Times New Roman" w:hAnsi="Times New Roman" w:cs="Times New Roman" w:eastAsiaTheme="minorEastAsia"/>
                <w:color w:val="auto"/>
                <w:kern w:val="0"/>
                <w:sz w:val="21"/>
                <w:szCs w:val="21"/>
                <w:lang w:val="en-US" w:eastAsia="zh-CN"/>
              </w:rPr>
              <w:t>一</w:t>
            </w:r>
            <w:r>
              <w:rPr>
                <w:rFonts w:hint="default" w:ascii="Times New Roman" w:hAnsi="Times New Roman" w:cs="Times New Roman" w:eastAsiaTheme="minorEastAsia"/>
                <w:color w:val="auto"/>
                <w:kern w:val="0"/>
                <w:sz w:val="21"/>
                <w:szCs w:val="21"/>
                <w:lang w:eastAsia="zh-CN"/>
              </w:rPr>
              <w:t>公里保洁及垃圾清运项目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57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提交报名资料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序号</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报名资料</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是否提交</w:t>
            </w: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营业执照副本复印件加盖公章</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法定代表人授权书原件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报名人有效身份证件复印件</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w:t>
            </w: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46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textAlignment w:val="auto"/>
              <w:outlineLvl w:val="0"/>
              <w:rPr>
                <w:rFonts w:hint="default" w:ascii="Times New Roman" w:hAnsi="Times New Roman" w:eastAsia="宋体" w:cs="Times New Roman"/>
                <w:color w:val="auto"/>
                <w:kern w:val="0"/>
                <w:sz w:val="21"/>
                <w:szCs w:val="21"/>
                <w:lang w:val="en-US" w:eastAsia="zh-CN" w:bidi="ar-SA"/>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957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招标（采购）文件签收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投标人</w:t>
            </w:r>
          </w:p>
        </w:tc>
        <w:tc>
          <w:tcPr>
            <w:tcW w:w="76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地址</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税号</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开户行</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账号</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项目负责人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报名人</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传真</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邮箱</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57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签收时间：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577" w:type="dxa"/>
            <w:gridSpan w:val="7"/>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textAlignment w:val="auto"/>
              <w:outlineLvl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以上报名资料请装订成册</w:t>
            </w:r>
          </w:p>
        </w:tc>
      </w:tr>
    </w:tbl>
    <w:p>
      <w:pPr>
        <w:pStyle w:val="28"/>
        <w:rPr>
          <w:rFonts w:hint="default" w:ascii="Times New Roman" w:hAnsi="Times New Roman" w:eastAsia="宋体" w:cs="Times New Roman"/>
          <w:color w:val="auto"/>
          <w:kern w:val="2"/>
          <w:sz w:val="21"/>
          <w:szCs w:val="21"/>
          <w:lang w:val="en-US" w:eastAsia="zh-CN" w:bidi="ar"/>
        </w:rPr>
      </w:pPr>
    </w:p>
    <w:p>
      <w:pPr>
        <w:pStyle w:val="28"/>
        <w:rPr>
          <w:rFonts w:hint="default" w:ascii="Times New Roman" w:hAnsi="Times New Roman" w:eastAsia="宋体" w:cs="Times New Roman"/>
          <w:color w:val="auto"/>
          <w:kern w:val="2"/>
          <w:sz w:val="21"/>
          <w:szCs w:val="21"/>
          <w:lang w:val="en-US" w:eastAsia="zh-CN" w:bidi="ar"/>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6"/>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17</w:t>
            </w:r>
            <w:r>
              <w:rPr>
                <w:rFonts w:hint="default" w:ascii="Times New Roman" w:hAnsi="Times New Roman" w:cs="Times New Roman" w:eastAsiaTheme="minorEastAsia"/>
                <w:color w:val="auto"/>
                <w:kern w:val="0"/>
                <w:sz w:val="21"/>
                <w:szCs w:val="21"/>
              </w:rPr>
              <w:t>日</w:t>
            </w:r>
            <w:r>
              <w:rPr>
                <w:rFonts w:hint="default" w:ascii="Times New Roman" w:hAnsi="Times New Roman" w:eastAsia="宋体" w:cs="Times New Roman"/>
                <w:color w:val="auto"/>
                <w:kern w:val="2"/>
                <w:sz w:val="21"/>
                <w:szCs w:val="21"/>
                <w:lang w:val="en-US" w:eastAsia="zh-CN" w:bidi="ar"/>
              </w:rPr>
              <w:t>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default" w:ascii="Times New Roman" w:hAnsi="Times New Roman"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w:t>
            </w:r>
            <w:r>
              <w:rPr>
                <w:rFonts w:hint="default" w:ascii="Times New Roman" w:hAnsi="Times New Roman" w:cs="Times New Roman" w:eastAsiaTheme="minorEastAsia"/>
                <w:color w:val="auto"/>
                <w:sz w:val="21"/>
                <w:szCs w:val="21"/>
                <w:lang w:val="en-US" w:eastAsia="zh-CN"/>
              </w:rPr>
              <w:t>2021</w:t>
            </w:r>
            <w:r>
              <w:rPr>
                <w:rFonts w:hint="default" w:ascii="Times New Roman" w:hAnsi="Times New Roman" w:cs="Times New Roman" w:eastAsiaTheme="minorEastAsia"/>
                <w:color w:val="auto"/>
                <w:sz w:val="21"/>
                <w:szCs w:val="21"/>
              </w:rPr>
              <w:t>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17</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日</w:t>
            </w:r>
            <w:r>
              <w:rPr>
                <w:rFonts w:hint="default" w:ascii="Times New Roman" w:hAnsi="Times New Roman" w:eastAsia="宋体" w:cs="Times New Roman"/>
                <w:color w:val="auto"/>
                <w:kern w:val="2"/>
                <w:sz w:val="21"/>
                <w:szCs w:val="21"/>
                <w:lang w:val="en-US" w:eastAsia="zh-CN" w:bidi="ar"/>
              </w:rPr>
              <w:t>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default" w:ascii="Times New Roman" w:hAnsi="Times New Roman"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供应商在签订合同前须交纳本项目合同金额的2%作为履约保证金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2"/>
        <w:snapToGrid w:val="0"/>
        <w:spacing w:before="120" w:after="120" w:line="360" w:lineRule="auto"/>
        <w:rPr>
          <w:rFonts w:hint="default" w:ascii="Times New Roman" w:hAnsi="Times New Roman" w:cs="Times New Roman" w:eastAsiaTheme="minorEastAsia"/>
          <w:b/>
          <w:color w:val="auto"/>
          <w:sz w:val="21"/>
          <w:szCs w:val="21"/>
        </w:rPr>
      </w:pPr>
    </w:p>
    <w:p>
      <w:pPr>
        <w:pStyle w:val="12"/>
        <w:snapToGrid w:val="0"/>
        <w:spacing w:before="120" w:after="120" w:line="360" w:lineRule="auto"/>
        <w:rPr>
          <w:rFonts w:hint="default" w:ascii="Times New Roman" w:hAnsi="Times New Roman" w:cs="Times New Roman" w:eastAsiaTheme="minorEastAsia"/>
          <w:b/>
          <w:color w:val="auto"/>
          <w:sz w:val="21"/>
          <w:szCs w:val="21"/>
        </w:rPr>
      </w:pPr>
    </w:p>
    <w:p>
      <w:pPr>
        <w:pStyle w:val="12"/>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本招标文件适用于</w:t>
      </w:r>
      <w:r>
        <w:rPr>
          <w:rFonts w:hint="default" w:ascii="Times New Roman" w:hAnsi="Times New Roman" w:cs="Times New Roman" w:eastAsiaTheme="minorEastAsia"/>
          <w:bCs/>
          <w:color w:val="auto"/>
          <w:sz w:val="21"/>
          <w:szCs w:val="21"/>
        </w:rPr>
        <w:t>本次</w:t>
      </w:r>
      <w:r>
        <w:rPr>
          <w:rFonts w:hint="default" w:ascii="Times New Roman" w:hAnsi="Times New Roman" w:cs="Times New Roman" w:eastAsiaTheme="minorEastAsia"/>
          <w:color w:val="auto"/>
          <w:sz w:val="21"/>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pStyle w:val="7"/>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jc w:val="left"/>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eastAsia="宋体" w:cs="Times New Roman"/>
          <w:b w:val="0"/>
          <w:bCs w:val="0"/>
          <w:color w:val="auto"/>
          <w:sz w:val="21"/>
          <w:szCs w:val="21"/>
          <w:lang w:val="zh-CN"/>
        </w:rPr>
        <w:t>“采购组织机构”指采购人委托组织</w:t>
      </w:r>
      <w:r>
        <w:rPr>
          <w:rFonts w:hint="default" w:ascii="Times New Roman" w:hAnsi="Times New Roman" w:cs="Times New Roman"/>
          <w:b w:val="0"/>
          <w:bCs w:val="0"/>
          <w:color w:val="auto"/>
          <w:sz w:val="21"/>
          <w:szCs w:val="21"/>
          <w:lang w:val="zh-CN"/>
        </w:rPr>
        <w:t>招标</w:t>
      </w:r>
      <w:r>
        <w:rPr>
          <w:rFonts w:hint="default" w:ascii="Times New Roman" w:hAnsi="Times New Roman" w:eastAsia="宋体" w:cs="Times New Roman"/>
          <w:b w:val="0"/>
          <w:bCs w:val="0"/>
          <w:color w:val="auto"/>
          <w:sz w:val="21"/>
          <w:szCs w:val="21"/>
          <w:lang w:val="zh-CN"/>
        </w:rPr>
        <w:t>的集中采购机构</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zh-CN"/>
        </w:rPr>
        <w:t>采购代理机构。</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3、投标人：是指向采购</w:t>
      </w:r>
      <w:r>
        <w:rPr>
          <w:rFonts w:hint="default" w:ascii="Times New Roman" w:hAnsi="Times New Roman" w:eastAsia="宋体" w:cs="Times New Roman"/>
          <w:b w:val="0"/>
          <w:bCs w:val="0"/>
          <w:color w:val="auto"/>
          <w:sz w:val="21"/>
          <w:szCs w:val="21"/>
          <w:lang w:val="zh-CN"/>
        </w:rPr>
        <w:t>组织</w:t>
      </w:r>
      <w:r>
        <w:rPr>
          <w:rFonts w:hint="default" w:ascii="Times New Roman" w:hAnsi="Times New Roman" w:cs="Times New Roman" w:eastAsiaTheme="minorEastAsia"/>
          <w:color w:val="auto"/>
          <w:sz w:val="21"/>
          <w:szCs w:val="21"/>
        </w:rPr>
        <w:t>机构提交投标文件的单位或个人。</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4、货物：是指各种形态和种类的物品，包括原材料、燃料、设备、产品等。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color w:val="auto"/>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6、“书面形式”包括信函、传真等。</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7、“▲”系指实质性要求条款。</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（三）投标费用</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不论投标结果如何，投标人均应自行承担所有与投标有关的全部费用（招标文件有相关规定除外）。</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sz w:val="21"/>
          <w:szCs w:val="21"/>
        </w:rPr>
        <w:tab/>
      </w:r>
    </w:p>
    <w:p>
      <w:pPr>
        <w:pStyle w:val="30"/>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0"/>
        <w:keepNext w:val="0"/>
        <w:keepLines w:val="0"/>
        <w:pageBreakBefore w:val="0"/>
        <w:kinsoku/>
        <w:wordWrap/>
        <w:overflowPunct/>
        <w:topLinePunct w:val="0"/>
        <w:bidi w:val="0"/>
        <w:snapToGrid w:val="0"/>
        <w:spacing w:beforeAutospacing="0" w:afterAutospacing="0" w:line="360" w:lineRule="exact"/>
        <w:ind w:left="0" w:leftChars="0" w:right="0" w:firstLineChars="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4、投标人被列入“黑名单”的，采购单位将根据《浙江省政府采购供应商注册及诚信管理暂行办法》第四十六条之规定，在处罚有效期内，资格审查时不予通过。</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sz w:val="21"/>
          <w:szCs w:val="21"/>
        </w:rPr>
        <w:t>、为采购项目提供整体设计、规范编制或者项目管理、监理、检测等服务的供应商，不得再参加该采购项目的其他采购活动。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rPr>
        <w:t>、投标文件格式中的表格式样可以根据项目差别做适当调整,但应当保持表格样式基本形态不变。</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rPr>
        <w:t>、单位负责人为同一人或者存在直接控股、管理关系的不同供应商，不得参加同一合同项下的政府采购活动。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beforeAutospacing="0" w:after="0" w:afterAutospacing="0" w:line="360" w:lineRule="exact"/>
        <w:ind w:left="0" w:leftChars="0" w:right="0" w:firstLine="420" w:firstLineChars="200"/>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（1）投标声明书；</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0"/>
      </w:r>
      <w:r>
        <w:rPr>
          <w:rFonts w:hint="default" w:ascii="Times New Roman" w:hAnsi="Times New Roman" w:cs="Times New Roman"/>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eastAsia="宋体" w:cs="Times New Roman"/>
          <w:szCs w:val="21"/>
          <w:lang w:eastAsia="zh-CN"/>
        </w:rPr>
      </w:pPr>
      <w:r>
        <w:rPr>
          <w:rFonts w:hint="default" w:ascii="Times New Roman" w:hAnsi="Times New Roman" w:cs="Times New Roman"/>
          <w:szCs w:val="21"/>
        </w:rPr>
        <w:t>（1）投标人情况介绍（人员与技术力量、企业规模、经营业绩等）</w:t>
      </w:r>
      <w:r>
        <w:rPr>
          <w:rFonts w:hint="default" w:ascii="Times New Roman" w:hAnsi="Times New Roman" w:cs="Times New Roman"/>
          <w:szCs w:val="21"/>
          <w:lang w:eastAsia="zh-CN"/>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）对本项目</w:t>
      </w:r>
      <w:r>
        <w:rPr>
          <w:rFonts w:hint="default" w:ascii="Times New Roman" w:hAnsi="Times New Roman" w:cs="Times New Roman"/>
          <w:szCs w:val="21"/>
          <w:lang w:val="en-US" w:eastAsia="zh-CN"/>
        </w:rPr>
        <w:t>需求的理解</w:t>
      </w:r>
      <w:r>
        <w:rPr>
          <w:rFonts w:hint="default" w:ascii="Times New Roman" w:hAnsi="Times New Roman" w:cs="Times New Roman"/>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lang w:eastAsia="zh-CN"/>
        </w:rPr>
        <w:t>）</w:t>
      </w:r>
      <w:r>
        <w:rPr>
          <w:rFonts w:hint="default" w:ascii="Times New Roman" w:hAnsi="Times New Roman" w:cs="Times New Roman"/>
          <w:szCs w:val="21"/>
        </w:rPr>
        <w:t>项目实施方案；</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rPr>
        <w:t>项目负责人资格情况表</w:t>
      </w:r>
      <w:r>
        <w:rPr>
          <w:rFonts w:hint="default" w:ascii="Times New Roman" w:hAnsi="Times New Roman" w:cs="Times New Roman"/>
          <w:szCs w:val="21"/>
          <w:lang w:eastAsia="zh-CN"/>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拟投入本项目的</w:t>
      </w:r>
      <w:r>
        <w:rPr>
          <w:rFonts w:hint="default" w:ascii="Times New Roman" w:hAnsi="Times New Roman" w:cs="Times New Roman"/>
          <w:szCs w:val="21"/>
        </w:rPr>
        <w:t>人员配置；</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应急处理措施；</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投标人类似成功案例一览表</w:t>
      </w:r>
      <w:r>
        <w:rPr>
          <w:rFonts w:hint="default" w:ascii="Times New Roman" w:hAnsi="Times New Roman" w:cs="Times New Roman"/>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8</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拟投入本项目的机械配置情况</w:t>
      </w:r>
      <w:r>
        <w:rPr>
          <w:rFonts w:hint="default" w:ascii="Times New Roman" w:hAnsi="Times New Roman" w:cs="Times New Roman"/>
          <w:szCs w:val="21"/>
        </w:rPr>
        <w:t>；</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9</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针对本项目的优惠措施和服务承诺</w:t>
      </w:r>
      <w:r>
        <w:rPr>
          <w:rFonts w:hint="default" w:ascii="Times New Roman" w:hAnsi="Times New Roman" w:cs="Times New Roman"/>
          <w:szCs w:val="21"/>
        </w:rPr>
        <w:t xml:space="preserve">； </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10</w:t>
      </w:r>
      <w:r>
        <w:rPr>
          <w:rFonts w:hint="default" w:ascii="Times New Roman" w:hAnsi="Times New Roman" w:cs="Times New Roman"/>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人员工资、福利、社保及意外保险、服装、员工劳保、法定节假日加班、员工高温、作业工具、作业机械及维护、清卫保洁、垃圾清运及处置、管理、利润等一切税金和费用。合同包含的所有风险责任等各项费用及不可预见费等所需的全部费用，全部费用已包含在开标一览表的投标总报价中。</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6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8"/>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8"/>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r>
        <w:rPr>
          <w:rFonts w:hint="default" w:ascii="Times New Roman" w:hAnsi="Times New Roman" w:cs="Times New Roman" w:eastAsiaTheme="minorEastAsia"/>
          <w:b/>
          <w:color w:val="auto"/>
          <w:kern w:val="0"/>
          <w:sz w:val="21"/>
          <w:szCs w:val="21"/>
          <w:shd w:val="clear" w:color="auto" w:fill="auto"/>
        </w:rPr>
        <w:t>、</w:t>
      </w:r>
      <w:commentRangeStart w:id="1"/>
      <w:r>
        <w:rPr>
          <w:rFonts w:hint="default" w:ascii="Times New Roman" w:hAnsi="Times New Roman" w:cs="Times New Roman" w:eastAsiaTheme="minorEastAsia"/>
          <w:b/>
          <w:color w:val="auto"/>
          <w:kern w:val="0"/>
          <w:sz w:val="21"/>
          <w:szCs w:val="21"/>
          <w:shd w:val="clear" w:color="auto" w:fill="auto"/>
        </w:rPr>
        <w:t>开标</w:t>
      </w:r>
      <w:commentRangeEnd w:id="1"/>
      <w:r>
        <w:rPr>
          <w:rFonts w:hint="default" w:ascii="Times New Roman" w:hAnsi="Times New Roman" w:cs="Times New Roman" w:eastAsiaTheme="minorEastAsia"/>
          <w:b/>
          <w:color w:val="auto"/>
          <w:kern w:val="0"/>
          <w:sz w:val="21"/>
          <w:szCs w:val="21"/>
          <w:shd w:val="clear" w:color="auto" w:fill="auto"/>
        </w:rPr>
        <w:commentReference w:id="1"/>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2"/>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2"/>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315" w:firstLineChars="15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beforeAutospacing="0" w:afterAutospacing="0" w:line="360" w:lineRule="exact"/>
        <w:ind w:left="0" w:leftChars="0" w:right="0" w:firstLine="315" w:firstLineChars="150"/>
        <w:textAlignment w:val="auto"/>
        <w:rPr>
          <w:rFonts w:hint="default" w:ascii="Times New Roman" w:hAnsi="Times New Roman" w:cs="Times New Roman" w:eastAsiaTheme="minorEastAsia"/>
          <w:color w:val="auto"/>
          <w:kern w:val="0"/>
          <w:sz w:val="21"/>
          <w:szCs w:val="21"/>
          <w:shd w:val="clear" w:color="auto" w:fill="auto"/>
          <w:lang w:eastAsia="zh-CN"/>
        </w:rPr>
      </w:pPr>
      <w:r>
        <w:rPr>
          <w:rFonts w:hint="default" w:ascii="Times New Roman" w:hAnsi="Times New Roman" w:cs="Times New Roman" w:eastAsiaTheme="minorEastAsia"/>
          <w:color w:val="auto"/>
          <w:kern w:val="0"/>
          <w:sz w:val="21"/>
          <w:szCs w:val="21"/>
          <w:shd w:val="clear" w:color="auto" w:fill="auto"/>
        </w:rPr>
        <w:t>（</w:t>
      </w:r>
      <w:r>
        <w:rPr>
          <w:rFonts w:hint="default" w:ascii="Times New Roman" w:hAnsi="Times New Roman" w:cs="Times New Roman" w:eastAsiaTheme="minorEastAsia"/>
          <w:color w:val="auto"/>
          <w:kern w:val="0"/>
          <w:sz w:val="21"/>
          <w:szCs w:val="21"/>
          <w:shd w:val="clear" w:color="auto" w:fill="auto"/>
          <w:lang w:val="en-US" w:eastAsia="zh-CN"/>
        </w:rPr>
        <w:t>3</w:t>
      </w:r>
      <w:r>
        <w:rPr>
          <w:rFonts w:hint="default" w:ascii="Times New Roman" w:hAnsi="Times New Roman" w:cs="Times New Roman" w:eastAsiaTheme="minorEastAsia"/>
          <w:color w:val="auto"/>
          <w:kern w:val="0"/>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367" w:firstLineChars="175"/>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eastAsia="zh-CN"/>
        </w:rPr>
        <w:t>评标委员会对报价文件进行复核，对于系统计算出的</w:t>
      </w:r>
      <w:r>
        <w:rPr>
          <w:rFonts w:hint="default" w:ascii="Times New Roman" w:hAnsi="Times New Roman" w:cs="Times New Roman" w:eastAsiaTheme="minorEastAsia"/>
          <w:color w:val="auto"/>
          <w:sz w:val="21"/>
          <w:szCs w:val="21"/>
          <w:shd w:val="clear" w:color="auto" w:fill="auto"/>
        </w:rPr>
        <w:t>价格分及总得分</w:t>
      </w:r>
      <w:r>
        <w:rPr>
          <w:rFonts w:hint="default" w:ascii="Times New Roman" w:hAnsi="Times New Roman" w:cs="Times New Roman" w:eastAsiaTheme="minorEastAsia"/>
          <w:color w:val="auto"/>
          <w:sz w:val="21"/>
          <w:szCs w:val="21"/>
          <w:shd w:val="clear" w:color="auto" w:fill="auto"/>
          <w:lang w:eastAsia="zh-CN"/>
        </w:rPr>
        <w:t>进行确认</w:t>
      </w:r>
      <w:r>
        <w:rPr>
          <w:rFonts w:hint="default" w:ascii="Times New Roman" w:hAnsi="Times New Roman" w:cs="Times New Roman" w:eastAsiaTheme="minorEastAsia"/>
          <w:color w:val="auto"/>
          <w:sz w:val="21"/>
          <w:szCs w:val="21"/>
          <w:shd w:val="clear" w:color="auto" w:fill="auto"/>
        </w:rPr>
        <w:t>；</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w:t>
      </w:r>
      <w:r>
        <w:rPr>
          <w:rFonts w:hint="default" w:ascii="Times New Roman" w:hAnsi="Times New Roman" w:cs="Times New Roman" w:eastAsiaTheme="minorEastAsia"/>
          <w:color w:val="auto"/>
          <w:sz w:val="21"/>
          <w:szCs w:val="21"/>
        </w:rPr>
        <w:t>标文件进行商务和技术评估，综合比较与评价。</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）评标委员会按评标原则</w:t>
      </w:r>
      <w:r>
        <w:rPr>
          <w:rFonts w:hint="default" w:ascii="Times New Roman" w:hAnsi="Times New Roman" w:cs="Times New Roman" w:eastAsiaTheme="minorEastAsia"/>
          <w:color w:val="auto"/>
          <w:sz w:val="21"/>
          <w:szCs w:val="21"/>
          <w:lang w:eastAsia="zh-CN"/>
        </w:rPr>
        <w:t>及得分情况</w:t>
      </w:r>
      <w:r>
        <w:rPr>
          <w:rFonts w:hint="default" w:ascii="Times New Roman" w:hAnsi="Times New Roman" w:cs="Times New Roman" w:eastAsiaTheme="minorEastAsia"/>
          <w:color w:val="auto"/>
          <w:sz w:val="21"/>
          <w:szCs w:val="21"/>
        </w:rPr>
        <w:t>编写评审报告</w:t>
      </w:r>
      <w:r>
        <w:rPr>
          <w:rFonts w:hint="default" w:ascii="Times New Roman" w:hAnsi="Times New Roman" w:cs="Times New Roman" w:eastAsiaTheme="minorEastAsia"/>
          <w:color w:val="auto"/>
          <w:sz w:val="21"/>
          <w:szCs w:val="21"/>
          <w:lang w:eastAsia="zh-CN"/>
        </w:rPr>
        <w:t>。</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评价</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对评标委员会评审专家进行评价。</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keepNext w:val="0"/>
        <w:keepLines w:val="0"/>
        <w:pageBreakBefore w:val="0"/>
        <w:kinsoku/>
        <w:wordWrap/>
        <w:overflowPunct/>
        <w:topLinePunct w:val="0"/>
        <w:bidi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投标人的澄清、说明或者补正应当采用书面形式，并加盖公章，或者由法定代理人或其授权的代表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，并不得超出投标文件的范围或者改变投标文件的实质性内容。</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w:t>
      </w:r>
      <w:r>
        <w:rPr>
          <w:rFonts w:hint="default" w:ascii="Times New Roman" w:hAnsi="Times New Roman" w:cs="Times New Roman"/>
          <w:b/>
          <w:color w:val="auto"/>
          <w:sz w:val="21"/>
          <w:szCs w:val="21"/>
        </w:rPr>
        <w:t>错误</w:t>
      </w:r>
      <w:r>
        <w:rPr>
          <w:rFonts w:hint="default" w:ascii="Times New Roman" w:hAnsi="Times New Roman" w:cs="Times New Roman" w:eastAsiaTheme="minorEastAsia"/>
          <w:b/>
          <w:color w:val="auto"/>
          <w:sz w:val="21"/>
          <w:szCs w:val="21"/>
        </w:rPr>
        <w:t>修正</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、总价金额与按单价汇总金额不一致的，以单价金额计算结果为准。</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。修正后的报价经投标人确认后产生约束力，投标人不确认的，其投标无效。</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jc w:val="left"/>
        <w:textAlignment w:val="auto"/>
        <w:rPr>
          <w:rFonts w:hint="eastAsia"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r>
        <w:rPr>
          <w:rFonts w:hint="eastAsia" w:cs="Times New Roman" w:eastAsiaTheme="minorEastAsia"/>
          <w:color w:val="auto"/>
          <w:kern w:val="0"/>
          <w:sz w:val="21"/>
          <w:szCs w:val="21"/>
          <w:lang w:eastAsia="zh-CN"/>
        </w:rPr>
        <w:t>。</w:t>
      </w:r>
    </w:p>
    <w:p>
      <w:pPr>
        <w:pStyle w:val="17"/>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7"/>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60" w:lineRule="exact"/>
        <w:ind w:left="0" w:leftChars="0" w:right="0" w:firstLine="411" w:firstLineChars="196"/>
        <w:textAlignment w:val="auto"/>
        <w:rPr>
          <w:rFonts w:hint="eastAsia" w:ascii="Times New Roman" w:hAnsi="Times New Roman" w:cs="Times New Roman" w:eastAsiaTheme="minorEastAsia"/>
          <w:bCs/>
          <w:color w:val="auto"/>
          <w:kern w:val="0"/>
          <w:sz w:val="21"/>
          <w:szCs w:val="21"/>
          <w:lang w:eastAsia="zh-CN"/>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r>
        <w:rPr>
          <w:rFonts w:hint="eastAsia" w:cs="Times New Roman" w:eastAsiaTheme="minorEastAsia"/>
          <w:color w:val="auto"/>
          <w:sz w:val="21"/>
          <w:szCs w:val="21"/>
          <w:lang w:eastAsia="zh-CN"/>
        </w:rPr>
        <w:t>。</w:t>
      </w:r>
    </w:p>
    <w:p>
      <w:pPr>
        <w:pStyle w:val="17"/>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w:t>
      </w:r>
      <w:r>
        <w:rPr>
          <w:rFonts w:hint="default" w:ascii="Times New Roman" w:hAnsi="Times New Roman" w:eastAsia="宋体" w:cs="Times New Roman"/>
          <w:color w:val="auto"/>
          <w:kern w:val="2"/>
          <w:sz w:val="21"/>
          <w:szCs w:val="24"/>
          <w:lang w:val="en-US" w:eastAsia="zh-CN" w:bidi="ar-SA"/>
        </w:rPr>
        <w:t>若投标合格供应商的投标最终报价低于所有投标合格供应商最终报价算术平均值80%的，评标委员会直接认定为低于成本价竞争，按无效标处理。</w:t>
      </w:r>
    </w:p>
    <w:p>
      <w:pPr>
        <w:pStyle w:val="17"/>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7"/>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eastAsia" w:ascii="Times New Roman" w:hAnsi="Times New Roman" w:cs="Times New Roman" w:eastAsiaTheme="minorEastAsia"/>
          <w:color w:val="auto"/>
          <w:sz w:val="21"/>
          <w:szCs w:val="21"/>
          <w:u w:val="single"/>
          <w:lang w:val="en-US" w:eastAsia="zh-CN"/>
        </w:rPr>
        <w:t>/</w:t>
      </w:r>
      <w:r>
        <w:rPr>
          <w:rFonts w:hint="default" w:ascii="Times New Roman" w:hAnsi="Times New Roman" w:cs="Times New Roman" w:eastAsiaTheme="minorEastAsia"/>
          <w:color w:val="auto"/>
          <w:sz w:val="21"/>
          <w:szCs w:val="21"/>
        </w:rPr>
        <w:t>以上的。</w:t>
      </w:r>
    </w:p>
    <w:p>
      <w:pPr>
        <w:pStyle w:val="17"/>
        <w:keepNext w:val="0"/>
        <w:keepLines w:val="0"/>
        <w:pageBreakBefore w:val="0"/>
        <w:kinsoku/>
        <w:wordWrap/>
        <w:overflowPunct/>
        <w:topLinePunct w:val="0"/>
        <w:bidi w:val="0"/>
        <w:adjustRightInd w:val="0"/>
        <w:snapToGrid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 xml:space="preserve">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11、不符合中华人民共和国财政部令第87号《政府采购货物和服务招标投标管理办法》第三十七条情形之一的，视为投标人串通投标，其投标无效，并移送采购监管部门：</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7"/>
        <w:keepNext w:val="0"/>
        <w:keepLines w:val="0"/>
        <w:pageBreakBefore w:val="0"/>
        <w:kinsoku/>
        <w:wordWrap/>
        <w:overflowPunct/>
        <w:topLinePunct w:val="0"/>
        <w:bidi w:val="0"/>
        <w:spacing w:before="0" w:beforeAutospacing="0" w:after="0" w:afterAutospacing="0" w:line="360" w:lineRule="exact"/>
        <w:ind w:left="0" w:leftChars="0" w:right="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12、不符合法律、法规和招标文件中规定的其他实质性要求的（招标文件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b/>
          <w:color w:val="auto"/>
          <w:kern w:val="0"/>
          <w:sz w:val="21"/>
          <w:szCs w:val="21"/>
        </w:rPr>
        <w:t>（六）有下列情况之一的，本次招标作为废标处理</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2"/>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2"/>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7"/>
        <w:keepNext w:val="0"/>
        <w:keepLines w:val="0"/>
        <w:pageBreakBefore w:val="0"/>
        <w:kinsoku/>
        <w:wordWrap/>
        <w:overflowPunct/>
        <w:topLinePunct w:val="0"/>
        <w:bidi w:val="0"/>
        <w:spacing w:before="0" w:beforeAutospacing="0" w:after="0" w:afterAutospacing="0" w:line="36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kern w:val="0"/>
          <w:szCs w:val="21"/>
        </w:rPr>
        <w:t>发布</w:t>
      </w:r>
      <w:r>
        <w:rPr>
          <w:rFonts w:hint="default" w:ascii="Times New Roman" w:hAnsi="Times New Roman" w:cs="Times New Roman"/>
          <w:szCs w:val="21"/>
        </w:rPr>
        <w:t>中标</w:t>
      </w:r>
      <w:r>
        <w:rPr>
          <w:rFonts w:hint="default" w:ascii="Times New Roman" w:hAnsi="Times New Roman" w:cs="Times New Roman"/>
          <w:kern w:val="0"/>
          <w:szCs w:val="21"/>
        </w:rPr>
        <w:t>结果公告。采购组织机构应当自中标人确定之日起2个工作日内，在</w:t>
      </w:r>
      <w:r>
        <w:rPr>
          <w:rFonts w:hint="default" w:ascii="Times New Roman" w:hAnsi="Times New Roman" w:cs="Times New Roman"/>
          <w:kern w:val="0"/>
          <w:szCs w:val="21"/>
          <w:lang w:val="en-US" w:eastAsia="zh-CN"/>
        </w:rPr>
        <w:t>原公告发布的</w:t>
      </w:r>
      <w:r>
        <w:rPr>
          <w:rFonts w:hint="default" w:ascii="Times New Roman" w:hAnsi="Times New Roman" w:cs="Times New Roman"/>
          <w:kern w:val="0"/>
          <w:szCs w:val="21"/>
        </w:rPr>
        <w:t>媒体及相关网站上公告中标结果，招标文件应当随中标结果同时公告。</w:t>
      </w:r>
    </w:p>
    <w:p>
      <w:pPr>
        <w:keepNext w:val="0"/>
        <w:keepLines w:val="0"/>
        <w:pageBreakBefore w:val="0"/>
        <w:kinsoku/>
        <w:wordWrap/>
        <w:overflowPunct/>
        <w:topLinePunct w:val="0"/>
        <w:bidi w:val="0"/>
        <w:spacing w:beforeAutospacing="0" w:afterAutospacing="0" w:line="36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w:t>
      </w:r>
    </w:p>
    <w:p>
      <w:pPr>
        <w:pStyle w:val="17"/>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7"/>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3、中标供应商无故拖延、拒签合同的,取消中标资格。</w:t>
      </w:r>
    </w:p>
    <w:p>
      <w:pPr>
        <w:pStyle w:val="17"/>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before="0" w:beforeAutospacing="0" w:after="0" w:afterAutospacing="0"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pStyle w:val="3"/>
        <w:keepNext w:val="0"/>
        <w:keepLines w:val="0"/>
        <w:pageBreakBefore w:val="0"/>
        <w:kinsoku/>
        <w:wordWrap/>
        <w:overflowPunct/>
        <w:topLinePunct w:val="0"/>
        <w:bidi w:val="0"/>
        <w:spacing w:beforeAutospacing="0" w:after="0" w:afterAutospacing="0" w:line="360" w:lineRule="exact"/>
        <w:ind w:left="0" w:leftChars="0" w:right="0" w:firstLine="420" w:firstLineChars="20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招标代理服务费在投标报价中综合考虑，中标人在领取中标通知书时向招标代理机构支付招标代理服务费</w:t>
      </w:r>
      <w:r>
        <w:rPr>
          <w:rFonts w:hint="default" w:ascii="Times New Roman" w:hAnsi="Times New Roman" w:cs="Times New Roman"/>
          <w:color w:val="auto"/>
          <w:kern w:val="0"/>
          <w:sz w:val="21"/>
          <w:szCs w:val="21"/>
          <w:lang w:eastAsia="zh-CN"/>
        </w:rPr>
        <w:t>人民币</w:t>
      </w:r>
      <w:r>
        <w:rPr>
          <w:rFonts w:hint="default" w:ascii="Times New Roman" w:hAnsi="Times New Roman" w:cs="Times New Roman"/>
          <w:color w:val="auto"/>
          <w:kern w:val="0"/>
          <w:sz w:val="21"/>
          <w:szCs w:val="21"/>
          <w:lang w:val="en-US" w:eastAsia="zh-CN"/>
        </w:rPr>
        <w:t>壹</w:t>
      </w:r>
      <w:r>
        <w:rPr>
          <w:rFonts w:hint="default" w:ascii="Times New Roman" w:hAnsi="Times New Roman" w:cs="Times New Roman"/>
          <w:color w:val="auto"/>
          <w:kern w:val="0"/>
          <w:sz w:val="21"/>
          <w:szCs w:val="21"/>
          <w:lang w:eastAsia="zh-CN"/>
        </w:rPr>
        <w:t>万</w:t>
      </w:r>
      <w:r>
        <w:rPr>
          <w:rFonts w:hint="default" w:ascii="Times New Roman" w:hAnsi="Times New Roman" w:cs="Times New Roman"/>
          <w:color w:val="auto"/>
          <w:kern w:val="0"/>
          <w:sz w:val="21"/>
          <w:szCs w:val="21"/>
        </w:rPr>
        <w:t>元整</w:t>
      </w:r>
      <w:r>
        <w:rPr>
          <w:rFonts w:hint="default" w:ascii="Times New Roman" w:hAnsi="Times New Roman" w:cs="Times New Roman"/>
          <w:color w:val="auto"/>
          <w:kern w:val="0"/>
          <w:sz w:val="21"/>
          <w:szCs w:val="21"/>
          <w:lang w:eastAsia="zh-CN"/>
        </w:rPr>
        <w:t>。</w:t>
      </w:r>
    </w:p>
    <w:p>
      <w:pPr>
        <w:spacing w:line="360" w:lineRule="auto"/>
        <w:rPr>
          <w:rFonts w:hint="default" w:ascii="Times New Roman" w:hAnsi="Times New Roman" w:cs="Times New Roman" w:eastAsiaTheme="minorEastAsia"/>
          <w:b/>
          <w:color w:val="auto"/>
          <w:sz w:val="28"/>
          <w:szCs w:val="28"/>
        </w:rPr>
      </w:pPr>
    </w:p>
    <w:p>
      <w:pPr>
        <w:pStyle w:val="6"/>
        <w:rPr>
          <w:rFonts w:hint="default" w:ascii="Times New Roman" w:hAnsi="Times New Roman" w:cs="Times New Roman" w:eastAsiaTheme="minorEastAsia"/>
          <w:b/>
          <w:color w:val="auto"/>
          <w:sz w:val="28"/>
          <w:szCs w:val="28"/>
        </w:rPr>
      </w:pPr>
    </w:p>
    <w:p>
      <w:pPr>
        <w:rPr>
          <w:rFonts w:hint="default" w:ascii="Times New Roman" w:hAnsi="Times New Roman" w:cs="Times New Roman" w:eastAsiaTheme="minorEastAsia"/>
          <w:b/>
          <w:color w:val="auto"/>
          <w:sz w:val="28"/>
          <w:szCs w:val="28"/>
        </w:rPr>
      </w:pPr>
    </w:p>
    <w:p>
      <w:pPr>
        <w:pStyle w:val="2"/>
        <w:rPr>
          <w:rFonts w:hint="default"/>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default" w:ascii="Times New Roman" w:hAnsi="Times New Roman" w:cs="Times New Roman"/>
          <w:color w:val="auto"/>
          <w:kern w:val="2"/>
          <w:sz w:val="21"/>
          <w:szCs w:val="21"/>
          <w:u w:val="single"/>
          <w:lang w:val="en-US" w:eastAsia="zh-CN" w:bidi="ar"/>
        </w:rPr>
        <w:t>30%</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20"/>
        <w:tblW w:w="889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68"/>
        <w:gridCol w:w="583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62"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评标</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内容</w:t>
            </w:r>
          </w:p>
        </w:tc>
        <w:tc>
          <w:tcPr>
            <w:tcW w:w="6805" w:type="dxa"/>
            <w:gridSpan w:val="2"/>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细则内容</w:t>
            </w:r>
          </w:p>
        </w:tc>
        <w:tc>
          <w:tcPr>
            <w:tcW w:w="831" w:type="dxa"/>
            <w:tcBorders>
              <w:top w:val="single" w:color="auto" w:sz="4" w:space="0"/>
              <w:left w:val="single" w:color="auto" w:sz="4" w:space="0"/>
              <w:bottom w:val="single" w:color="auto" w:sz="4" w:space="0"/>
              <w:right w:val="single" w:color="auto" w:sz="4" w:space="0"/>
            </w:tcBorders>
            <w:shd w:val="clear" w:color="auto" w:fill="B3B3B3"/>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62" w:type="dxa"/>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z w:val="21"/>
                <w:szCs w:val="21"/>
              </w:rPr>
              <w:t>服务方案与人员配置</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val="en-US" w:eastAsia="zh-CN"/>
              </w:rPr>
              <w:t>对项目需求的理解</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投标人针对对</w:t>
            </w:r>
            <w:r>
              <w:rPr>
                <w:rFonts w:hint="default" w:ascii="Times New Roman" w:hAnsi="Times New Roman" w:cs="Times New Roman"/>
                <w:color w:val="auto"/>
                <w:kern w:val="0"/>
                <w:sz w:val="21"/>
                <w:szCs w:val="21"/>
                <w:lang w:eastAsia="zh-CN"/>
              </w:rPr>
              <w:t>本</w:t>
            </w:r>
            <w:r>
              <w:rPr>
                <w:rFonts w:hint="default" w:ascii="Times New Roman" w:hAnsi="Times New Roman" w:cs="Times New Roman"/>
                <w:color w:val="auto"/>
                <w:kern w:val="0"/>
                <w:sz w:val="21"/>
                <w:szCs w:val="21"/>
              </w:rPr>
              <w:t>项目保洁与垃圾收运工作的现状</w:t>
            </w:r>
            <w:r>
              <w:rPr>
                <w:rFonts w:hint="default" w:ascii="Times New Roman" w:hAnsi="Times New Roman" w:cs="Times New Roman"/>
                <w:color w:val="auto"/>
                <w:kern w:val="0"/>
                <w:sz w:val="21"/>
                <w:szCs w:val="21"/>
                <w:lang w:eastAsia="zh-CN"/>
              </w:rPr>
              <w:t>及需求理解及</w:t>
            </w:r>
            <w:r>
              <w:rPr>
                <w:rFonts w:hint="default" w:ascii="Times New Roman" w:hAnsi="Times New Roman" w:cs="Times New Roman"/>
                <w:color w:val="auto"/>
                <w:kern w:val="0"/>
                <w:sz w:val="21"/>
                <w:szCs w:val="21"/>
              </w:rPr>
              <w:t xml:space="preserve">合理化的建议，由评标委员会综合比较后酌情打分。一档 </w:t>
            </w:r>
            <w:r>
              <w:rPr>
                <w:rFonts w:hint="default" w:ascii="Times New Roman" w:hAnsi="Times New Roman" w:cs="Times New Roman"/>
                <w:color w:val="auto"/>
                <w:kern w:val="0"/>
                <w:sz w:val="21"/>
                <w:szCs w:val="21"/>
                <w:lang w:val="en-US" w:eastAsia="zh-CN"/>
              </w:rPr>
              <w:t>10-9</w:t>
            </w:r>
            <w:r>
              <w:rPr>
                <w:rFonts w:hint="default" w:ascii="Times New Roman" w:hAnsi="Times New Roman" w:cs="Times New Roman"/>
                <w:color w:val="auto"/>
                <w:kern w:val="0"/>
                <w:sz w:val="21"/>
                <w:szCs w:val="21"/>
              </w:rPr>
              <w:t>分，二档</w:t>
            </w:r>
            <w:r>
              <w:rPr>
                <w:rFonts w:hint="default" w:ascii="Times New Roman" w:hAnsi="Times New Roman" w:cs="Times New Roman"/>
                <w:color w:val="auto"/>
                <w:kern w:val="0"/>
                <w:sz w:val="21"/>
                <w:szCs w:val="21"/>
                <w:lang w:val="en-US" w:eastAsia="zh-CN"/>
              </w:rPr>
              <w:t>8.</w:t>
            </w:r>
            <w:r>
              <w:rPr>
                <w:rFonts w:hint="eastAsia" w:cs="Times New Roman"/>
                <w:color w:val="auto"/>
                <w:kern w:val="0"/>
                <w:sz w:val="21"/>
                <w:szCs w:val="21"/>
                <w:lang w:val="en-US" w:eastAsia="zh-CN"/>
              </w:rPr>
              <w:t>5</w:t>
            </w:r>
            <w:r>
              <w:rPr>
                <w:rFonts w:hint="default" w:ascii="Times New Roman" w:hAnsi="Times New Roman" w:cs="Times New Roman"/>
                <w:color w:val="auto"/>
                <w:kern w:val="0"/>
                <w:sz w:val="21"/>
                <w:szCs w:val="21"/>
                <w:lang w:val="en-US" w:eastAsia="zh-CN"/>
              </w:rPr>
              <w:t>-</w:t>
            </w:r>
            <w:r>
              <w:rPr>
                <w:rFonts w:hint="eastAsia" w:cs="Times New Roman"/>
                <w:color w:val="auto"/>
                <w:kern w:val="0"/>
                <w:sz w:val="21"/>
                <w:szCs w:val="21"/>
                <w:lang w:val="en-US" w:eastAsia="zh-CN"/>
              </w:rPr>
              <w:t>7.5</w:t>
            </w:r>
            <w:r>
              <w:rPr>
                <w:rFonts w:hint="default" w:ascii="Times New Roman" w:hAnsi="Times New Roman" w:cs="Times New Roman"/>
                <w:color w:val="auto"/>
                <w:kern w:val="0"/>
                <w:sz w:val="21"/>
                <w:szCs w:val="21"/>
              </w:rPr>
              <w:t xml:space="preserve">分，三档 </w:t>
            </w:r>
            <w:r>
              <w:rPr>
                <w:rFonts w:hint="eastAsia" w:cs="Times New Roman"/>
                <w:color w:val="auto"/>
                <w:kern w:val="0"/>
                <w:sz w:val="21"/>
                <w:szCs w:val="21"/>
                <w:lang w:val="en-US" w:eastAsia="zh-CN"/>
              </w:rPr>
              <w:t>7-6</w:t>
            </w:r>
            <w:r>
              <w:rPr>
                <w:rFonts w:hint="default" w:ascii="Times New Roman" w:hAnsi="Times New Roman" w:cs="Times New Roman"/>
                <w:color w:val="auto"/>
                <w:kern w:val="0"/>
                <w:sz w:val="21"/>
                <w:szCs w:val="21"/>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kern w:val="0"/>
                <w:sz w:val="21"/>
                <w:szCs w:val="21"/>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作业</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服务</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实施</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zh-CN"/>
              </w:rPr>
            </w:pPr>
            <w:r>
              <w:rPr>
                <w:rFonts w:hint="default" w:ascii="Times New Roman" w:hAnsi="Times New Roman" w:cs="Times New Roman"/>
                <w:color w:val="auto"/>
                <w:kern w:val="0"/>
                <w:sz w:val="21"/>
                <w:szCs w:val="21"/>
              </w:rPr>
              <w:t>方案</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eastAsia="zh-CN"/>
              </w:rPr>
            </w:pPr>
            <w:r>
              <w:rPr>
                <w:rFonts w:hint="default" w:ascii="Times New Roman" w:hAnsi="Times New Roman" w:cs="Times New Roman"/>
                <w:color w:val="auto"/>
              </w:rPr>
              <w:t>1、针对本项目制定的清扫保洁方案描述的全面性、合理性、规范性等，由评标委员会综合比较后酌情打分</w:t>
            </w:r>
            <w:r>
              <w:rPr>
                <w:rFonts w:hint="default" w:ascii="Times New Roman" w:hAnsi="Times New Roman" w:cs="Times New Roman"/>
                <w:color w:val="auto"/>
                <w:lang w:eastAsia="zh-CN"/>
              </w:rPr>
              <w:t>：</w:t>
            </w:r>
            <w:r>
              <w:rPr>
                <w:rFonts w:hint="default" w:ascii="Times New Roman" w:hAnsi="Times New Roman" w:cs="Times New Roman"/>
                <w:color w:val="auto"/>
              </w:rPr>
              <w:t>一档</w:t>
            </w:r>
            <w:r>
              <w:rPr>
                <w:rFonts w:hint="default" w:ascii="Times New Roman" w:hAnsi="Times New Roman" w:cs="Times New Roman"/>
                <w:color w:val="auto"/>
                <w:lang w:val="en-US" w:eastAsia="zh-CN"/>
              </w:rPr>
              <w:t>7-6</w:t>
            </w:r>
            <w:r>
              <w:rPr>
                <w:rFonts w:hint="default" w:ascii="Times New Roman" w:hAnsi="Times New Roman" w:cs="Times New Roman"/>
                <w:color w:val="auto"/>
              </w:rPr>
              <w:t>分，二档</w:t>
            </w:r>
            <w:r>
              <w:rPr>
                <w:rFonts w:hint="default" w:ascii="Times New Roman" w:hAnsi="Times New Roman" w:cs="Times New Roman"/>
                <w:color w:val="auto"/>
                <w:lang w:val="en-US" w:eastAsia="zh-CN"/>
              </w:rPr>
              <w:t>5.9-</w:t>
            </w:r>
            <w:r>
              <w:rPr>
                <w:rFonts w:hint="eastAsia" w:cs="Times New Roman"/>
                <w:color w:val="auto"/>
                <w:lang w:val="en-US" w:eastAsia="zh-CN"/>
              </w:rPr>
              <w:t>5</w:t>
            </w:r>
            <w:r>
              <w:rPr>
                <w:rFonts w:hint="default" w:ascii="Times New Roman" w:hAnsi="Times New Roman" w:cs="Times New Roman"/>
                <w:color w:val="auto"/>
              </w:rPr>
              <w:t>分，三档</w:t>
            </w:r>
            <w:r>
              <w:rPr>
                <w:rFonts w:hint="eastAsia" w:cs="Times New Roman"/>
                <w:color w:val="auto"/>
                <w:lang w:val="en-US" w:eastAsia="zh-CN"/>
              </w:rPr>
              <w:t>4</w:t>
            </w:r>
            <w:r>
              <w:rPr>
                <w:rFonts w:hint="default" w:ascii="Times New Roman" w:hAnsi="Times New Roman" w:cs="Times New Roman"/>
                <w:color w:val="auto"/>
                <w:lang w:val="en-US" w:eastAsia="zh-CN"/>
              </w:rPr>
              <w:t>.9-</w:t>
            </w:r>
            <w:r>
              <w:rPr>
                <w:rFonts w:hint="eastAsia" w:cs="Times New Roman"/>
                <w:color w:val="auto"/>
                <w:lang w:val="en-US" w:eastAsia="zh-CN"/>
              </w:rPr>
              <w:t>4.5</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lang w:eastAsia="zh-CN"/>
              </w:rPr>
              <w:t>；</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lang w:eastAsia="zh-CN"/>
              </w:rPr>
            </w:pPr>
            <w:r>
              <w:rPr>
                <w:rFonts w:hint="default" w:ascii="Times New Roman" w:hAnsi="Times New Roman" w:cs="Times New Roman"/>
                <w:color w:val="auto"/>
              </w:rPr>
              <w:t>2、针对本项目制定的各类垃圾</w:t>
            </w:r>
            <w:r>
              <w:rPr>
                <w:rFonts w:hint="default" w:ascii="Times New Roman" w:hAnsi="Times New Roman" w:cs="Times New Roman"/>
                <w:color w:val="auto"/>
                <w:lang w:eastAsia="zh-CN"/>
              </w:rPr>
              <w:t>清运处置</w:t>
            </w:r>
            <w:r>
              <w:rPr>
                <w:rFonts w:hint="default" w:ascii="Times New Roman" w:hAnsi="Times New Roman" w:cs="Times New Roman"/>
                <w:color w:val="auto"/>
              </w:rPr>
              <w:t>方案描述的全面性、合理性、规范性等，由评标委员会综合比较后酌情打分</w:t>
            </w:r>
            <w:r>
              <w:rPr>
                <w:rFonts w:hint="default" w:ascii="Times New Roman" w:hAnsi="Times New Roman" w:cs="Times New Roman"/>
                <w:color w:val="auto"/>
                <w:lang w:eastAsia="zh-CN"/>
              </w:rPr>
              <w:t>：</w:t>
            </w:r>
            <w:r>
              <w:rPr>
                <w:rFonts w:hint="default" w:ascii="Times New Roman" w:hAnsi="Times New Roman" w:cs="Times New Roman"/>
                <w:color w:val="auto"/>
              </w:rPr>
              <w:t>一档</w:t>
            </w:r>
            <w:r>
              <w:rPr>
                <w:rFonts w:hint="default" w:ascii="Times New Roman" w:hAnsi="Times New Roman" w:cs="Times New Roman"/>
                <w:color w:val="auto"/>
                <w:lang w:val="en-US" w:eastAsia="zh-CN"/>
              </w:rPr>
              <w:t>7-6</w:t>
            </w:r>
            <w:r>
              <w:rPr>
                <w:rFonts w:hint="default" w:ascii="Times New Roman" w:hAnsi="Times New Roman" w:cs="Times New Roman"/>
                <w:color w:val="auto"/>
              </w:rPr>
              <w:t>分，二档</w:t>
            </w:r>
            <w:r>
              <w:rPr>
                <w:rFonts w:hint="eastAsia" w:cs="Times New Roman"/>
                <w:color w:val="auto"/>
                <w:lang w:val="en-US" w:eastAsia="zh-CN"/>
              </w:rPr>
              <w:t>5</w:t>
            </w:r>
            <w:r>
              <w:rPr>
                <w:rFonts w:hint="default" w:ascii="Times New Roman" w:hAnsi="Times New Roman" w:cs="Times New Roman"/>
                <w:color w:val="auto"/>
                <w:lang w:val="en-US" w:eastAsia="zh-CN"/>
              </w:rPr>
              <w:t>.9-5</w:t>
            </w:r>
            <w:r>
              <w:rPr>
                <w:rFonts w:hint="default" w:ascii="Times New Roman" w:hAnsi="Times New Roman" w:cs="Times New Roman"/>
                <w:color w:val="auto"/>
              </w:rPr>
              <w:t>分，三档</w:t>
            </w:r>
            <w:r>
              <w:rPr>
                <w:rFonts w:hint="default" w:ascii="Times New Roman" w:hAnsi="Times New Roman" w:cs="Times New Roman"/>
                <w:color w:val="auto"/>
                <w:lang w:val="en-US" w:eastAsia="zh-CN"/>
              </w:rPr>
              <w:t>4.9-</w:t>
            </w:r>
            <w:r>
              <w:rPr>
                <w:rFonts w:hint="eastAsia" w:cs="Times New Roman"/>
                <w:color w:val="auto"/>
                <w:lang w:val="en-US" w:eastAsia="zh-CN"/>
              </w:rPr>
              <w:t>4.5</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lang w:eastAsia="zh-CN"/>
              </w:rPr>
              <w: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注：以上方案描述需包括作业计划、作业规程、作业细则、质量标准等。</w:t>
            </w:r>
          </w:p>
          <w:p>
            <w:pPr>
              <w:keepNext w:val="0"/>
              <w:keepLines w:val="0"/>
              <w:widowControl/>
              <w:suppressLineNumbers w:val="0"/>
              <w:spacing w:before="0" w:beforeAutospacing="0" w:after="0" w:afterAutospacing="0"/>
              <w:ind w:left="0" w:right="0"/>
              <w:jc w:val="left"/>
              <w:rPr>
                <w:rFonts w:hint="default" w:ascii="Times New Roman" w:hAnsi="Times New Roman" w:eastAsia="微软雅黑" w:cs="Times New Roman"/>
                <w:color w:val="auto"/>
                <w:lang w:val="en-US" w:eastAsia="zh-CN"/>
              </w:rPr>
            </w:pPr>
            <w:r>
              <w:rPr>
                <w:rFonts w:hint="default" w:ascii="Times New Roman" w:hAnsi="Times New Roman" w:cs="Times New Roman"/>
                <w:color w:val="auto"/>
                <w:lang w:val="en-US" w:eastAsia="zh-CN"/>
              </w:rPr>
              <w:t>3、</w:t>
            </w:r>
            <w:r>
              <w:rPr>
                <w:rFonts w:hint="eastAsia" w:cs="Times New Roman"/>
                <w:color w:val="auto"/>
                <w:lang w:val="en-US" w:eastAsia="zh-CN"/>
              </w:rPr>
              <w:t>针对项目</w:t>
            </w:r>
            <w:r>
              <w:rPr>
                <w:rFonts w:hint="default" w:ascii="Times New Roman" w:hAnsi="Times New Roman" w:cs="Times New Roman"/>
                <w:color w:val="auto"/>
              </w:rPr>
              <w:t>安全教育与管理制度、劳动保护及安全措施等方案的完整性、可操作性等由评标委员会综合比较后酌情打分。一档</w:t>
            </w:r>
            <w:r>
              <w:rPr>
                <w:rFonts w:hint="default" w:ascii="Times New Roman" w:hAnsi="Times New Roman" w:cs="Times New Roman"/>
                <w:color w:val="auto"/>
                <w:lang w:val="en-US" w:eastAsia="zh-CN"/>
              </w:rPr>
              <w:t>6-5</w:t>
            </w:r>
            <w:r>
              <w:rPr>
                <w:rFonts w:hint="default" w:ascii="Times New Roman" w:hAnsi="Times New Roman" w:cs="Times New Roman"/>
                <w:color w:val="auto"/>
              </w:rPr>
              <w:t>分，二档</w:t>
            </w:r>
            <w:r>
              <w:rPr>
                <w:rFonts w:hint="default" w:ascii="Times New Roman" w:hAnsi="Times New Roman" w:cs="Times New Roman"/>
                <w:color w:val="auto"/>
                <w:lang w:val="en-US" w:eastAsia="zh-CN"/>
              </w:rPr>
              <w:t>4.9-</w:t>
            </w:r>
            <w:r>
              <w:rPr>
                <w:rFonts w:hint="eastAsia" w:cs="Times New Roman"/>
                <w:color w:val="auto"/>
                <w:lang w:val="en-US" w:eastAsia="zh-CN"/>
              </w:rPr>
              <w:t>4.5</w:t>
            </w:r>
            <w:r>
              <w:rPr>
                <w:rFonts w:hint="default" w:ascii="Times New Roman" w:hAnsi="Times New Roman" w:cs="Times New Roman"/>
                <w:color w:val="auto"/>
              </w:rPr>
              <w:t xml:space="preserve">分，三档 </w:t>
            </w:r>
            <w:r>
              <w:rPr>
                <w:rFonts w:hint="eastAsia" w:cs="Times New Roman"/>
                <w:color w:val="auto"/>
                <w:lang w:val="en-US" w:eastAsia="zh-CN"/>
              </w:rPr>
              <w:t>4.4-4.0</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rPr>
              <w:t>。</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应急</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eastAsia="zh-CN"/>
              </w:rPr>
              <w:t>能力</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遇紧急情况或突发事件（包括台风等自然灾害）处理方案及措施的可操作性；</w:t>
            </w:r>
            <w:r>
              <w:rPr>
                <w:rFonts w:hint="default" w:ascii="Times New Roman" w:hAnsi="Times New Roman" w:cs="Times New Roman"/>
                <w:color w:val="auto"/>
              </w:rPr>
              <w:t>一档</w:t>
            </w:r>
            <w:r>
              <w:rPr>
                <w:rFonts w:hint="default" w:ascii="Times New Roman" w:hAnsi="Times New Roman" w:cs="Times New Roman"/>
                <w:color w:val="auto"/>
                <w:lang w:val="en-US" w:eastAsia="zh-CN"/>
              </w:rPr>
              <w:t>5-4</w:t>
            </w:r>
            <w:r>
              <w:rPr>
                <w:rFonts w:hint="eastAsia" w:cs="Times New Roman"/>
                <w:color w:val="auto"/>
                <w:lang w:val="en-US" w:eastAsia="zh-CN"/>
              </w:rPr>
              <w:t>.5</w:t>
            </w:r>
            <w:r>
              <w:rPr>
                <w:rFonts w:hint="default" w:ascii="Times New Roman" w:hAnsi="Times New Roman" w:cs="Times New Roman"/>
                <w:color w:val="auto"/>
              </w:rPr>
              <w:t>分，二档</w:t>
            </w:r>
            <w:r>
              <w:rPr>
                <w:rFonts w:hint="eastAsia" w:cs="Times New Roman"/>
                <w:color w:val="auto"/>
                <w:lang w:val="en-US" w:eastAsia="zh-CN"/>
              </w:rPr>
              <w:t>4.4</w:t>
            </w:r>
            <w:r>
              <w:rPr>
                <w:rFonts w:hint="default" w:ascii="Times New Roman" w:hAnsi="Times New Roman" w:cs="Times New Roman"/>
                <w:color w:val="auto"/>
                <w:lang w:val="en-US" w:eastAsia="zh-CN"/>
              </w:rPr>
              <w:t>-</w:t>
            </w:r>
            <w:r>
              <w:rPr>
                <w:rFonts w:hint="eastAsia" w:cs="Times New Roman"/>
                <w:color w:val="auto"/>
                <w:lang w:val="en-US" w:eastAsia="zh-CN"/>
              </w:rPr>
              <w:t>4.0</w:t>
            </w:r>
            <w:r>
              <w:rPr>
                <w:rFonts w:hint="default" w:ascii="Times New Roman" w:hAnsi="Times New Roman" w:cs="Times New Roman"/>
                <w:color w:val="auto"/>
              </w:rPr>
              <w:t xml:space="preserve">分，三档 </w:t>
            </w:r>
            <w:r>
              <w:rPr>
                <w:rFonts w:hint="eastAsia" w:cs="Times New Roman"/>
                <w:color w:val="auto"/>
                <w:lang w:val="en-US" w:eastAsia="zh-CN"/>
              </w:rPr>
              <w:t>3.9</w:t>
            </w:r>
            <w:r>
              <w:rPr>
                <w:rFonts w:hint="default" w:ascii="Times New Roman" w:hAnsi="Times New Roman" w:cs="Times New Roman"/>
                <w:color w:val="auto"/>
                <w:lang w:val="en-US" w:eastAsia="zh-CN"/>
              </w:rPr>
              <w:t>-</w:t>
            </w:r>
            <w:r>
              <w:rPr>
                <w:rFonts w:hint="eastAsia" w:cs="Times New Roman"/>
                <w:color w:val="auto"/>
                <w:lang w:val="en-US" w:eastAsia="zh-CN"/>
              </w:rPr>
              <w:t>3.5</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人员</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w:hAnsi="Times New Roman" w:eastAsia="微软雅黑"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lang w:val="en-US" w:eastAsia="zh-CN"/>
              </w:rPr>
              <w:t>拟投入的项目负责人学历、资格、类似项目管理经验等比较：</w:t>
            </w:r>
            <w:r>
              <w:rPr>
                <w:rFonts w:hint="default" w:ascii="Times New Roman" w:hAnsi="Times New Roman" w:cs="Times New Roman"/>
                <w:color w:val="auto"/>
                <w:kern w:val="0"/>
                <w:sz w:val="21"/>
                <w:szCs w:val="21"/>
              </w:rPr>
              <w:t xml:space="preserve">一档 </w:t>
            </w:r>
            <w:r>
              <w:rPr>
                <w:rFonts w:hint="default" w:ascii="Times New Roman" w:hAnsi="Times New Roman" w:cs="Times New Roman"/>
                <w:color w:val="auto"/>
                <w:kern w:val="0"/>
                <w:sz w:val="21"/>
                <w:szCs w:val="21"/>
                <w:lang w:val="en-US" w:eastAsia="zh-CN"/>
              </w:rPr>
              <w:t>5-4</w:t>
            </w:r>
            <w:r>
              <w:rPr>
                <w:rFonts w:hint="eastAsia" w:cs="Times New Roman"/>
                <w:color w:val="auto"/>
                <w:kern w:val="0"/>
                <w:sz w:val="21"/>
                <w:szCs w:val="21"/>
                <w:lang w:val="en-US" w:eastAsia="zh-CN"/>
              </w:rPr>
              <w:t>.5</w:t>
            </w:r>
            <w:r>
              <w:rPr>
                <w:rFonts w:hint="default" w:ascii="Times New Roman" w:hAnsi="Times New Roman" w:cs="Times New Roman"/>
                <w:color w:val="auto"/>
                <w:kern w:val="0"/>
                <w:sz w:val="21"/>
                <w:szCs w:val="21"/>
              </w:rPr>
              <w:t>分，</w:t>
            </w:r>
            <w:r>
              <w:rPr>
                <w:rFonts w:hint="default" w:ascii="Times New Roman" w:hAnsi="Times New Roman" w:cs="Times New Roman"/>
                <w:color w:val="auto"/>
              </w:rPr>
              <w:t>二档</w:t>
            </w:r>
            <w:r>
              <w:rPr>
                <w:rFonts w:hint="eastAsia" w:cs="Times New Roman"/>
                <w:color w:val="auto"/>
                <w:lang w:val="en-US" w:eastAsia="zh-CN"/>
              </w:rPr>
              <w:t>4.4</w:t>
            </w:r>
            <w:r>
              <w:rPr>
                <w:rFonts w:hint="default" w:ascii="Times New Roman" w:hAnsi="Times New Roman" w:cs="Times New Roman"/>
                <w:color w:val="auto"/>
                <w:lang w:val="en-US" w:eastAsia="zh-CN"/>
              </w:rPr>
              <w:t>-</w:t>
            </w:r>
            <w:r>
              <w:rPr>
                <w:rFonts w:hint="eastAsia" w:cs="Times New Roman"/>
                <w:color w:val="auto"/>
                <w:lang w:val="en-US" w:eastAsia="zh-CN"/>
              </w:rPr>
              <w:t>4.0</w:t>
            </w:r>
            <w:r>
              <w:rPr>
                <w:rFonts w:hint="default" w:ascii="Times New Roman" w:hAnsi="Times New Roman" w:cs="Times New Roman"/>
                <w:color w:val="auto"/>
              </w:rPr>
              <w:t>分，三档</w:t>
            </w:r>
            <w:r>
              <w:rPr>
                <w:rFonts w:hint="eastAsia" w:cs="Times New Roman"/>
                <w:color w:val="auto"/>
                <w:lang w:val="en-US" w:eastAsia="zh-CN"/>
              </w:rPr>
              <w:t>3.9</w:t>
            </w:r>
            <w:r>
              <w:rPr>
                <w:rFonts w:hint="default" w:ascii="Times New Roman" w:hAnsi="Times New Roman" w:cs="Times New Roman"/>
                <w:color w:val="auto"/>
                <w:lang w:val="en-US" w:eastAsia="zh-CN"/>
              </w:rPr>
              <w:t>-</w:t>
            </w:r>
            <w:r>
              <w:rPr>
                <w:rFonts w:hint="eastAsia" w:cs="Times New Roman"/>
                <w:color w:val="auto"/>
                <w:lang w:val="en-US" w:eastAsia="zh-CN"/>
              </w:rPr>
              <w:t>3.5</w:t>
            </w:r>
            <w:r>
              <w:rPr>
                <w:rFonts w:hint="default" w:ascii="Times New Roman" w:hAnsi="Times New Roman" w:cs="Times New Roman"/>
                <w:color w:val="auto"/>
              </w:rPr>
              <w:t>分</w:t>
            </w:r>
            <w:r>
              <w:rPr>
                <w:rFonts w:hint="default" w:ascii="Times New Roman" w:hAnsi="Times New Roman" w:cs="Times New Roman"/>
                <w:color w:val="auto"/>
                <w:lang w:eastAsia="zh-CN"/>
              </w:rPr>
              <w:t>，</w:t>
            </w:r>
            <w:r>
              <w:rPr>
                <w:rFonts w:hint="default" w:ascii="Times New Roman" w:hAnsi="Times New Roman" w:cs="Times New Roman"/>
                <w:color w:val="auto"/>
                <w:kern w:val="0"/>
                <w:sz w:val="21"/>
                <w:szCs w:val="21"/>
                <w:lang w:val="en-US" w:eastAsia="zh-CN"/>
              </w:rPr>
              <w:t>缺项</w:t>
            </w:r>
            <w:r>
              <w:rPr>
                <w:rFonts w:hint="eastAsia" w:cs="Times New Roman"/>
                <w:color w:val="auto"/>
                <w:kern w:val="0"/>
                <w:sz w:val="21"/>
                <w:szCs w:val="21"/>
                <w:lang w:val="en-US" w:eastAsia="zh-CN"/>
              </w:rPr>
              <w:t>得</w:t>
            </w:r>
            <w:r>
              <w:rPr>
                <w:rFonts w:hint="default" w:ascii="Times New Roman" w:hAnsi="Times New Roman" w:cs="Times New Roman"/>
                <w:color w:val="auto"/>
                <w:kern w:val="0"/>
                <w:sz w:val="21"/>
                <w:szCs w:val="21"/>
                <w:lang w:val="en-US" w:eastAsia="zh-CN"/>
              </w:rPr>
              <w:t>0分</w:t>
            </w:r>
            <w:r>
              <w:rPr>
                <w:rFonts w:hint="default" w:ascii="Times New Roman" w:hAnsi="Times New Roman" w:cs="Times New Roman"/>
                <w:color w:val="auto"/>
                <w:lang w:eastAsia="zh-CN"/>
              </w:rPr>
              <w:t>；</w:t>
            </w:r>
          </w:p>
          <w:p>
            <w:pPr>
              <w:keepNext w:val="0"/>
              <w:keepLines w:val="0"/>
              <w:widowControl/>
              <w:numPr>
                <w:ilvl w:val="0"/>
                <w:numId w:val="0"/>
              </w:numPr>
              <w:suppressLineNumbers w:val="0"/>
              <w:spacing w:before="0" w:beforeAutospacing="0" w:after="0" w:afterAutospacing="0"/>
              <w:ind w:left="0" w:right="0" w:rightChars="0"/>
              <w:jc w:val="left"/>
              <w:rPr>
                <w:rFonts w:hint="default" w:ascii="Times New Roman" w:hAnsi="Times New Roman" w:eastAsia="微软雅黑" w:cs="Times New Roman"/>
                <w:color w:val="auto"/>
                <w:lang w:val="en-US" w:eastAsia="zh-CN"/>
              </w:rPr>
            </w:pPr>
            <w:r>
              <w:rPr>
                <w:rFonts w:hint="eastAsia" w:cs="Times New Roman"/>
                <w:color w:val="auto"/>
                <w:lang w:val="en-US" w:eastAsia="zh-CN"/>
              </w:rPr>
              <w:t>2、</w:t>
            </w:r>
            <w:r>
              <w:rPr>
                <w:rFonts w:hint="default" w:ascii="Times New Roman" w:hAnsi="Times New Roman" w:cs="Times New Roman"/>
                <w:color w:val="auto"/>
                <w:lang w:eastAsia="zh-CN"/>
              </w:rPr>
              <w:t>拟</w:t>
            </w:r>
            <w:r>
              <w:rPr>
                <w:rFonts w:hint="default" w:ascii="Times New Roman" w:hAnsi="Times New Roman" w:cs="Times New Roman"/>
                <w:color w:val="auto"/>
              </w:rPr>
              <w:t>投入的管理人员</w:t>
            </w:r>
            <w:r>
              <w:rPr>
                <w:rFonts w:hint="default" w:ascii="Times New Roman" w:hAnsi="Times New Roman" w:cs="Times New Roman"/>
                <w:color w:val="auto"/>
                <w:lang w:eastAsia="zh-CN"/>
              </w:rPr>
              <w:t>及</w:t>
            </w:r>
            <w:r>
              <w:rPr>
                <w:rFonts w:hint="default" w:ascii="Times New Roman" w:hAnsi="Times New Roman" w:cs="Times New Roman"/>
                <w:color w:val="auto"/>
              </w:rPr>
              <w:t>清扫保洁人员、垃圾清运人员等人员配置</w:t>
            </w:r>
            <w:r>
              <w:rPr>
                <w:rFonts w:hint="default" w:ascii="Times New Roman" w:hAnsi="Times New Roman" w:cs="Times New Roman"/>
                <w:color w:val="auto"/>
                <w:lang w:eastAsia="zh-CN"/>
              </w:rPr>
              <w:t>（包括人员年龄结构，人员素质等）是否合理。由评标委员会综合比较后酌情打分，</w:t>
            </w:r>
            <w:r>
              <w:rPr>
                <w:rFonts w:hint="default" w:ascii="Times New Roman" w:hAnsi="Times New Roman" w:cs="Times New Roman"/>
                <w:color w:val="auto"/>
                <w:kern w:val="0"/>
                <w:sz w:val="21"/>
                <w:szCs w:val="21"/>
              </w:rPr>
              <w:t xml:space="preserve">一档 </w:t>
            </w:r>
            <w:r>
              <w:rPr>
                <w:rFonts w:hint="default" w:ascii="Times New Roman" w:hAnsi="Times New Roman" w:cs="Times New Roman"/>
                <w:color w:val="auto"/>
                <w:kern w:val="0"/>
                <w:sz w:val="21"/>
                <w:szCs w:val="21"/>
                <w:lang w:val="en-US" w:eastAsia="zh-CN"/>
              </w:rPr>
              <w:t>5-4</w:t>
            </w:r>
            <w:r>
              <w:rPr>
                <w:rFonts w:hint="eastAsia" w:cs="Times New Roman"/>
                <w:color w:val="auto"/>
                <w:kern w:val="0"/>
                <w:sz w:val="21"/>
                <w:szCs w:val="21"/>
                <w:lang w:val="en-US" w:eastAsia="zh-CN"/>
              </w:rPr>
              <w:t>.5</w:t>
            </w:r>
            <w:r>
              <w:rPr>
                <w:rFonts w:hint="default" w:ascii="Times New Roman" w:hAnsi="Times New Roman" w:cs="Times New Roman"/>
                <w:color w:val="auto"/>
                <w:kern w:val="0"/>
                <w:sz w:val="21"/>
                <w:szCs w:val="21"/>
              </w:rPr>
              <w:t>分，</w:t>
            </w:r>
            <w:r>
              <w:rPr>
                <w:rFonts w:hint="default" w:ascii="Times New Roman" w:hAnsi="Times New Roman" w:cs="Times New Roman"/>
                <w:color w:val="auto"/>
              </w:rPr>
              <w:t>二档</w:t>
            </w:r>
            <w:r>
              <w:rPr>
                <w:rFonts w:hint="eastAsia" w:cs="Times New Roman"/>
                <w:color w:val="auto"/>
                <w:lang w:val="en-US" w:eastAsia="zh-CN"/>
              </w:rPr>
              <w:t>4.4-4.0</w:t>
            </w:r>
            <w:r>
              <w:rPr>
                <w:rFonts w:hint="default" w:ascii="Times New Roman" w:hAnsi="Times New Roman" w:cs="Times New Roman"/>
                <w:color w:val="auto"/>
              </w:rPr>
              <w:t>分，三档</w:t>
            </w:r>
            <w:r>
              <w:rPr>
                <w:rFonts w:hint="eastAsia" w:cs="Times New Roman"/>
                <w:color w:val="auto"/>
                <w:lang w:val="en-US" w:eastAsia="zh-CN"/>
              </w:rPr>
              <w:t>3.9-3.5</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lang w:eastAsia="zh-CN"/>
              </w:rPr>
              <w:t>。</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FF0000"/>
                <w:kern w:val="0"/>
                <w:sz w:val="21"/>
                <w:szCs w:val="21"/>
              </w:rPr>
            </w:pPr>
            <w:r>
              <w:rPr>
                <w:rFonts w:hint="default" w:ascii="Times New Roman" w:hAnsi="Times New Roman" w:eastAsia="宋体" w:cs="Times New Roman"/>
                <w:b w:val="0"/>
                <w:bCs w:val="0"/>
                <w:color w:val="auto"/>
                <w:sz w:val="21"/>
                <w:szCs w:val="21"/>
              </w:rPr>
              <w:t>类似项目经验</w:t>
            </w:r>
          </w:p>
        </w:tc>
        <w:tc>
          <w:tcPr>
            <w:tcW w:w="58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highlight w:val="none"/>
                <w:lang w:val="en-US" w:eastAsia="zh-CN"/>
              </w:rPr>
              <w:t>2019年1月1日以来</w:t>
            </w:r>
            <w:r>
              <w:rPr>
                <w:rFonts w:hint="default" w:ascii="Times New Roman" w:hAnsi="Times New Roman" w:eastAsia="宋体" w:cs="Times New Roman"/>
                <w:b w:val="0"/>
                <w:bCs w:val="0"/>
                <w:color w:val="auto"/>
                <w:sz w:val="21"/>
                <w:szCs w:val="21"/>
                <w:highlight w:val="none"/>
              </w:rPr>
              <w:t>投标人</w:t>
            </w:r>
            <w:r>
              <w:rPr>
                <w:rFonts w:hint="default" w:ascii="Times New Roman" w:hAnsi="Times New Roman" w:cs="Times New Roman"/>
                <w:b w:val="0"/>
                <w:bCs w:val="0"/>
                <w:color w:val="auto"/>
                <w:sz w:val="21"/>
                <w:szCs w:val="21"/>
                <w:highlight w:val="none"/>
                <w:lang w:val="en-US" w:eastAsia="zh-CN"/>
              </w:rPr>
              <w:t>承接过同类项目</w:t>
            </w:r>
            <w:r>
              <w:rPr>
                <w:rFonts w:hint="default" w:ascii="Times New Roman" w:hAnsi="Times New Roman" w:eastAsia="宋体" w:cs="Times New Roman"/>
                <w:b w:val="0"/>
                <w:bCs w:val="0"/>
                <w:color w:val="auto"/>
                <w:sz w:val="21"/>
                <w:szCs w:val="21"/>
                <w:highlight w:val="none"/>
              </w:rPr>
              <w:t>业绩，</w:t>
            </w:r>
            <w:r>
              <w:rPr>
                <w:rFonts w:hint="default" w:ascii="Times New Roman" w:hAnsi="Times New Roman" w:cs="Times New Roman"/>
                <w:b w:val="0"/>
                <w:bCs w:val="0"/>
                <w:color w:val="auto"/>
                <w:sz w:val="21"/>
                <w:szCs w:val="21"/>
                <w:highlight w:val="none"/>
                <w:lang w:val="en-US" w:eastAsia="zh-CN"/>
              </w:rPr>
              <w:t>每</w:t>
            </w:r>
            <w:r>
              <w:rPr>
                <w:rFonts w:hint="eastAsia"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个项目</w:t>
            </w:r>
            <w:r>
              <w:rPr>
                <w:rFonts w:hint="eastAsia" w:cs="Times New Roman"/>
                <w:b w:val="0"/>
                <w:bCs w:val="0"/>
                <w:color w:val="auto"/>
                <w:sz w:val="21"/>
                <w:szCs w:val="21"/>
                <w:highlight w:val="none"/>
                <w:lang w:val="en-US" w:eastAsia="zh-CN"/>
              </w:rPr>
              <w:t>业绩</w:t>
            </w:r>
            <w:r>
              <w:rPr>
                <w:rFonts w:hint="default" w:ascii="Times New Roman" w:hAnsi="Times New Roman" w:cs="Times New Roman"/>
                <w:b w:val="0"/>
                <w:bCs w:val="0"/>
                <w:color w:val="auto"/>
                <w:sz w:val="21"/>
                <w:szCs w:val="21"/>
                <w:highlight w:val="none"/>
                <w:lang w:val="en-US" w:eastAsia="zh-CN"/>
              </w:rPr>
              <w:t>得2分，</w:t>
            </w:r>
            <w:r>
              <w:rPr>
                <w:rFonts w:hint="default" w:ascii="Times New Roman" w:hAnsi="Times New Roman" w:eastAsia="宋体" w:cs="Times New Roman"/>
                <w:b w:val="0"/>
                <w:bCs w:val="0"/>
                <w:color w:val="auto"/>
                <w:sz w:val="21"/>
                <w:szCs w:val="21"/>
                <w:highlight w:val="none"/>
              </w:rPr>
              <w:t>最高得</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rPr>
              <w:t>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提供</w:t>
            </w:r>
            <w:r>
              <w:rPr>
                <w:rFonts w:hint="eastAsia" w:cs="Times New Roman"/>
                <w:b w:val="0"/>
                <w:bCs w:val="0"/>
                <w:color w:val="auto"/>
                <w:sz w:val="21"/>
                <w:szCs w:val="21"/>
                <w:highlight w:val="none"/>
                <w:lang w:val="en-US" w:eastAsia="zh-CN"/>
              </w:rPr>
              <w:t>项目中标通知书及承包合同书</w:t>
            </w:r>
            <w:r>
              <w:rPr>
                <w:rFonts w:hint="default" w:ascii="Times New Roman" w:hAnsi="Times New Roman" w:eastAsia="宋体" w:cs="Times New Roman"/>
                <w:b w:val="0"/>
                <w:bCs w:val="0"/>
                <w:color w:val="auto"/>
                <w:sz w:val="21"/>
                <w:szCs w:val="21"/>
                <w:highlight w:val="none"/>
                <w:lang w:val="en-US" w:eastAsia="zh-CN"/>
              </w:rPr>
              <w:t>。</w:t>
            </w:r>
          </w:p>
        </w:tc>
        <w:tc>
          <w:tcPr>
            <w:tcW w:w="831" w:type="dxa"/>
            <w:tcBorders>
              <w:top w:val="single" w:color="auto" w:sz="4" w:space="0"/>
              <w:left w:val="single" w:color="auto" w:sz="4" w:space="0"/>
              <w:right w:val="single" w:color="auto" w:sz="4" w:space="0"/>
            </w:tcBorders>
            <w:noWrap w:val="0"/>
            <w:vAlign w:val="center"/>
          </w:tcPr>
          <w:p>
            <w:pPr>
              <w:pStyle w:val="76"/>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机械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配置</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rPr>
              <w:t>根据投标</w:t>
            </w:r>
            <w:r>
              <w:rPr>
                <w:rFonts w:hint="default" w:ascii="Times New Roman" w:hAnsi="Times New Roman" w:cs="Times New Roman"/>
                <w:color w:val="auto"/>
                <w:kern w:val="0"/>
                <w:sz w:val="21"/>
                <w:szCs w:val="21"/>
                <w:lang w:val="en-US" w:eastAsia="zh-CN"/>
              </w:rPr>
              <w:t>人</w:t>
            </w:r>
            <w:r>
              <w:rPr>
                <w:rFonts w:hint="default" w:ascii="Times New Roman" w:hAnsi="Times New Roman" w:cs="Times New Roman"/>
                <w:color w:val="auto"/>
                <w:kern w:val="0"/>
                <w:sz w:val="21"/>
                <w:szCs w:val="21"/>
                <w:lang w:eastAsia="zh-CN"/>
              </w:rPr>
              <w:t>拟</w:t>
            </w:r>
            <w:r>
              <w:rPr>
                <w:rFonts w:hint="default" w:ascii="Times New Roman" w:hAnsi="Times New Roman" w:cs="Times New Roman"/>
                <w:color w:val="auto"/>
                <w:kern w:val="0"/>
                <w:sz w:val="21"/>
                <w:szCs w:val="21"/>
              </w:rPr>
              <w:t>投入的</w:t>
            </w:r>
            <w:r>
              <w:rPr>
                <w:rFonts w:hint="default" w:ascii="Times New Roman" w:hAnsi="Times New Roman" w:cs="Times New Roman"/>
                <w:color w:val="auto"/>
                <w:kern w:val="0"/>
                <w:sz w:val="21"/>
                <w:szCs w:val="21"/>
                <w:lang w:eastAsia="zh-CN"/>
              </w:rPr>
              <w:t>器具及</w:t>
            </w:r>
            <w:r>
              <w:rPr>
                <w:rFonts w:hint="default" w:ascii="Times New Roman" w:hAnsi="Times New Roman" w:cs="Times New Roman"/>
                <w:color w:val="auto"/>
                <w:kern w:val="0"/>
                <w:sz w:val="21"/>
                <w:szCs w:val="21"/>
              </w:rPr>
              <w:t>相</w:t>
            </w:r>
            <w:r>
              <w:rPr>
                <w:rFonts w:hint="default" w:ascii="Times New Roman" w:hAnsi="Times New Roman" w:cs="Times New Roman"/>
                <w:color w:val="auto"/>
                <w:kern w:val="0"/>
                <w:sz w:val="21"/>
                <w:szCs w:val="21"/>
                <w:lang w:eastAsia="zh-CN"/>
              </w:rPr>
              <w:t>应</w:t>
            </w:r>
            <w:r>
              <w:rPr>
                <w:rFonts w:hint="default" w:ascii="Times New Roman" w:hAnsi="Times New Roman" w:cs="Times New Roman"/>
                <w:color w:val="auto"/>
                <w:kern w:val="0"/>
                <w:sz w:val="21"/>
                <w:szCs w:val="21"/>
              </w:rPr>
              <w:t xml:space="preserve">机械设备等配置。由评标委员会综合比较后酌情打分。一档 </w:t>
            </w:r>
            <w:r>
              <w:rPr>
                <w:rFonts w:hint="default" w:ascii="Times New Roman" w:hAnsi="Times New Roman" w:cs="Times New Roman"/>
                <w:color w:val="auto"/>
                <w:kern w:val="0"/>
                <w:sz w:val="21"/>
                <w:szCs w:val="21"/>
                <w:lang w:val="en-US" w:eastAsia="zh-CN"/>
              </w:rPr>
              <w:t>10-9</w:t>
            </w:r>
            <w:r>
              <w:rPr>
                <w:rFonts w:hint="default" w:ascii="Times New Roman" w:hAnsi="Times New Roman" w:cs="Times New Roman"/>
                <w:color w:val="auto"/>
                <w:kern w:val="0"/>
                <w:sz w:val="21"/>
                <w:szCs w:val="21"/>
              </w:rPr>
              <w:t>分，二档</w:t>
            </w:r>
            <w:r>
              <w:rPr>
                <w:rFonts w:hint="eastAsia" w:cs="Times New Roman"/>
                <w:color w:val="auto"/>
                <w:kern w:val="0"/>
                <w:sz w:val="21"/>
                <w:szCs w:val="21"/>
                <w:lang w:val="en-US" w:eastAsia="zh-CN"/>
              </w:rPr>
              <w:t>8.5-7.5分</w:t>
            </w:r>
            <w:r>
              <w:rPr>
                <w:rFonts w:hint="default" w:ascii="Times New Roman" w:hAnsi="Times New Roman" w:cs="Times New Roman"/>
                <w:color w:val="auto"/>
                <w:kern w:val="0"/>
                <w:sz w:val="21"/>
                <w:szCs w:val="21"/>
              </w:rPr>
              <w:t xml:space="preserve">，三档 </w:t>
            </w:r>
            <w:r>
              <w:rPr>
                <w:rFonts w:hint="eastAsia" w:cs="Times New Roman"/>
                <w:color w:val="auto"/>
                <w:kern w:val="0"/>
                <w:sz w:val="21"/>
                <w:szCs w:val="21"/>
                <w:lang w:val="en-US" w:eastAsia="zh-CN"/>
              </w:rPr>
              <w:t>7-6</w:t>
            </w:r>
            <w:r>
              <w:rPr>
                <w:rFonts w:hint="default" w:ascii="Times New Roman" w:hAnsi="Times New Roman" w:cs="Times New Roman"/>
                <w:color w:val="auto"/>
                <w:kern w:val="0"/>
                <w:sz w:val="21"/>
                <w:szCs w:val="21"/>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r>
              <w:rPr>
                <w:rFonts w:hint="default" w:ascii="Times New Roman" w:hAnsi="Times New Roman" w:cs="Times New Roman"/>
                <w:color w:val="auto"/>
                <w:kern w:val="0"/>
                <w:sz w:val="21"/>
                <w:szCs w:val="21"/>
              </w:rPr>
              <w:t>。</w:t>
            </w:r>
          </w:p>
        </w:tc>
        <w:tc>
          <w:tcPr>
            <w:tcW w:w="83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26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eastAsiaTheme="minorEastAsia"/>
                <w:color w:val="auto"/>
                <w:sz w:val="21"/>
                <w:szCs w:val="21"/>
              </w:rPr>
            </w:pPr>
          </w:p>
        </w:tc>
        <w:tc>
          <w:tcPr>
            <w:tcW w:w="968"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优惠</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措施</w:t>
            </w:r>
          </w:p>
        </w:tc>
        <w:tc>
          <w:tcPr>
            <w:tcW w:w="5837"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针对本项目提供的优惠条件</w:t>
            </w:r>
            <w:r>
              <w:rPr>
                <w:rFonts w:hint="default" w:ascii="Times New Roman" w:hAnsi="Times New Roman" w:cs="Times New Roman"/>
                <w:color w:val="auto"/>
                <w:kern w:val="0"/>
                <w:sz w:val="21"/>
                <w:szCs w:val="21"/>
                <w:lang w:eastAsia="zh-CN"/>
              </w:rPr>
              <w:t>和特殊服务及其他承诺等，</w:t>
            </w:r>
            <w:r>
              <w:rPr>
                <w:rFonts w:hint="default" w:ascii="Times New Roman" w:hAnsi="Times New Roman" w:cs="Times New Roman"/>
                <w:color w:val="auto"/>
                <w:kern w:val="0"/>
                <w:sz w:val="21"/>
                <w:szCs w:val="21"/>
              </w:rPr>
              <w:t>由评标委员会综合比较后酌情打分。</w:t>
            </w:r>
            <w:r>
              <w:rPr>
                <w:rFonts w:hint="default" w:ascii="Times New Roman" w:hAnsi="Times New Roman" w:cs="Times New Roman"/>
                <w:color w:val="auto"/>
              </w:rPr>
              <w:t>一档</w:t>
            </w:r>
            <w:r>
              <w:rPr>
                <w:rFonts w:hint="default" w:ascii="Times New Roman" w:hAnsi="Times New Roman" w:cs="Times New Roman"/>
                <w:color w:val="auto"/>
                <w:lang w:val="en-US" w:eastAsia="zh-CN"/>
              </w:rPr>
              <w:t>5-4</w:t>
            </w:r>
            <w:r>
              <w:rPr>
                <w:rFonts w:hint="eastAsia" w:cs="Times New Roman"/>
                <w:color w:val="auto"/>
                <w:lang w:val="en-US" w:eastAsia="zh-CN"/>
              </w:rPr>
              <w:t>.5</w:t>
            </w:r>
            <w:r>
              <w:rPr>
                <w:rFonts w:hint="default" w:ascii="Times New Roman" w:hAnsi="Times New Roman" w:cs="Times New Roman"/>
                <w:color w:val="auto"/>
              </w:rPr>
              <w:t>分，二档</w:t>
            </w:r>
            <w:r>
              <w:rPr>
                <w:rFonts w:hint="eastAsia" w:cs="Times New Roman"/>
                <w:color w:val="auto"/>
                <w:lang w:val="en-US" w:eastAsia="zh-CN"/>
              </w:rPr>
              <w:t>4.4</w:t>
            </w:r>
            <w:r>
              <w:rPr>
                <w:rFonts w:hint="default" w:ascii="Times New Roman" w:hAnsi="Times New Roman" w:cs="Times New Roman"/>
                <w:color w:val="auto"/>
                <w:lang w:val="en-US" w:eastAsia="zh-CN"/>
              </w:rPr>
              <w:t>-</w:t>
            </w:r>
            <w:r>
              <w:rPr>
                <w:rFonts w:hint="eastAsia" w:cs="Times New Roman"/>
                <w:color w:val="auto"/>
                <w:lang w:val="en-US" w:eastAsia="zh-CN"/>
              </w:rPr>
              <w:t>4.0</w:t>
            </w:r>
            <w:r>
              <w:rPr>
                <w:rFonts w:hint="default" w:ascii="Times New Roman" w:hAnsi="Times New Roman" w:cs="Times New Roman"/>
                <w:color w:val="auto"/>
              </w:rPr>
              <w:t xml:space="preserve">分，三档 </w:t>
            </w:r>
            <w:r>
              <w:rPr>
                <w:rFonts w:hint="eastAsia" w:cs="Times New Roman"/>
                <w:color w:val="auto"/>
                <w:lang w:val="en-US" w:eastAsia="zh-CN"/>
              </w:rPr>
              <w:t>3.9</w:t>
            </w:r>
            <w:r>
              <w:rPr>
                <w:rFonts w:hint="default" w:ascii="Times New Roman" w:hAnsi="Times New Roman" w:cs="Times New Roman"/>
                <w:color w:val="auto"/>
                <w:lang w:val="en-US" w:eastAsia="zh-CN"/>
              </w:rPr>
              <w:t>-</w:t>
            </w:r>
            <w:r>
              <w:rPr>
                <w:rFonts w:hint="eastAsia" w:cs="Times New Roman"/>
                <w:color w:val="auto"/>
                <w:lang w:val="en-US" w:eastAsia="zh-CN"/>
              </w:rPr>
              <w:t>3.5</w:t>
            </w:r>
            <w:r>
              <w:rPr>
                <w:rFonts w:hint="default" w:ascii="Times New Roman" w:hAnsi="Times New Roman" w:cs="Times New Roman"/>
                <w:color w:val="auto"/>
              </w:rPr>
              <w:t>分</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缺项得0分。</w:t>
            </w:r>
          </w:p>
        </w:tc>
        <w:tc>
          <w:tcPr>
            <w:tcW w:w="83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1262"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价格</w:t>
            </w:r>
          </w:p>
        </w:tc>
        <w:tc>
          <w:tcPr>
            <w:tcW w:w="6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投标报价得分=(评标基准价／投标报价)×</w:t>
            </w:r>
            <w:r>
              <w:rPr>
                <w:rFonts w:hint="default" w:ascii="Times New Roman" w:hAnsi="Times New Roman" w:cs="Times New Roman"/>
                <w:color w:val="auto"/>
                <w:lang w:val="en-US" w:eastAsia="zh-CN"/>
              </w:rPr>
              <w:t>3</w:t>
            </w:r>
            <w:r>
              <w:rPr>
                <w:rFonts w:hint="default" w:ascii="Times New Roman" w:hAnsi="Times New Roman" w:cs="Times New Roman"/>
                <w:color w:val="auto"/>
              </w:rPr>
              <w:t>0 %×100</w:t>
            </w:r>
            <w:r>
              <w:rPr>
                <w:rFonts w:hint="default" w:ascii="Times New Roman" w:hAnsi="Times New Roman" w:cs="Times New Roman"/>
                <w:color w:val="auto"/>
                <w:lang w:eastAsia="zh-CN"/>
              </w:rPr>
              <w:t>（小数点后保留</w:t>
            </w:r>
            <w:r>
              <w:rPr>
                <w:rFonts w:hint="default" w:ascii="Times New Roman" w:hAnsi="Times New Roman" w:cs="Times New Roman"/>
                <w:color w:val="auto"/>
                <w:lang w:val="en-US" w:eastAsia="zh-CN"/>
              </w:rPr>
              <w:t>2位</w:t>
            </w:r>
            <w:r>
              <w:rPr>
                <w:rFonts w:hint="default" w:ascii="Times New Roman" w:hAnsi="Times New Roman" w:cs="Times New Roman"/>
                <w:color w:val="auto"/>
                <w:lang w:eastAsia="zh-CN"/>
              </w:rPr>
              <w:t>）。（注：对于符合政府采购政策及优惠的企业产品给予</w:t>
            </w:r>
            <w:r>
              <w:rPr>
                <w:rFonts w:hint="default" w:ascii="Times New Roman" w:hAnsi="Times New Roman" w:cs="Times New Roman"/>
                <w:color w:val="auto"/>
                <w:lang w:val="en-US" w:eastAsia="zh-CN"/>
              </w:rPr>
              <w:t>6%的扣除，用扣除后的价格作为评审价格参与评审，具体执行依据见</w:t>
            </w:r>
            <w:r>
              <w:rPr>
                <w:rFonts w:hint="default" w:ascii="Times New Roman" w:hAnsi="Times New Roman" w:cs="Times New Roman"/>
                <w:color w:val="auto"/>
              </w:rPr>
              <w:t>本</w:t>
            </w:r>
            <w:r>
              <w:rPr>
                <w:rFonts w:hint="default" w:ascii="Times New Roman" w:hAnsi="Times New Roman" w:cs="Times New Roman"/>
                <w:color w:val="auto"/>
                <w:lang w:eastAsia="zh-CN"/>
              </w:rPr>
              <w:t>章</w:t>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点的第四条</w:t>
            </w:r>
            <w:r>
              <w:rPr>
                <w:rFonts w:hint="default" w:ascii="Times New Roman" w:hAnsi="Times New Roman" w:cs="Times New Roman"/>
                <w:color w:val="auto"/>
                <w:lang w:val="en-US" w:eastAsia="zh-CN"/>
              </w:rPr>
              <w:t>“政府采购政策及优惠”中的规定</w:t>
            </w:r>
            <w:r>
              <w:rPr>
                <w:rFonts w:hint="default" w:ascii="Times New Roman" w:hAnsi="Times New Roman" w:cs="Times New Roman"/>
                <w:color w:val="auto"/>
                <w:lang w:eastAsia="zh-CN"/>
              </w:rPr>
              <w:t>）</w:t>
            </w:r>
          </w:p>
          <w:p>
            <w:pPr>
              <w:pStyle w:val="28"/>
              <w:keepNext w:val="0"/>
              <w:keepLines w:val="0"/>
              <w:widowControl/>
              <w:suppressLineNumbers w:val="0"/>
              <w:spacing w:before="0" w:beforeAutospacing="0" w:after="0" w:afterAutospacing="0"/>
              <w:ind w:left="0" w:leftChars="0" w:right="0" w:rightChars="0" w:firstLine="420" w:firstLineChars="200"/>
              <w:rPr>
                <w:rFonts w:hint="default" w:ascii="Times New Roman" w:hAnsi="Times New Roman" w:eastAsia="微软雅黑" w:cs="Times New Roman"/>
                <w:color w:val="auto"/>
                <w:kern w:val="2"/>
                <w:sz w:val="22"/>
                <w:szCs w:val="22"/>
                <w:lang w:val="en-US" w:eastAsia="zh-CN" w:bidi="ar-SA"/>
              </w:rPr>
            </w:pPr>
            <w:r>
              <w:rPr>
                <w:rFonts w:hint="default" w:ascii="Times New Roman" w:hAnsi="Times New Roman" w:eastAsia="宋体" w:cs="Times New Roman"/>
                <w:color w:val="auto"/>
                <w:kern w:val="2"/>
                <w:sz w:val="21"/>
                <w:szCs w:val="24"/>
                <w:lang w:val="en-US" w:eastAsia="zh-CN" w:bidi="ar-SA"/>
              </w:rPr>
              <w:t>2、若投标合格供应商的投标最终报价低于所有投标合格供应商最终报价算术平均值80%的，评标委员会直接认定为低于成本价竞争，按无效标处理。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3</w:t>
            </w:r>
            <w:r>
              <w:rPr>
                <w:rFonts w:hint="default" w:ascii="Times New Roman" w:hAnsi="Times New Roman" w:cs="Times New Roman"/>
                <w:color w:val="auto"/>
                <w:kern w:val="0"/>
                <w:szCs w:val="21"/>
              </w:rPr>
              <w:t>0分</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2" w:firstLineChars="200"/>
        <w:jc w:val="both"/>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sz w:val="21"/>
          <w:szCs w:val="21"/>
          <w:lang w:val="en-US" w:eastAsia="zh-CN"/>
        </w:rPr>
        <w:t>备注：上述所涉及评审的证书、合同、文件、报告等以复印件形式装订在投标文件中，原件请随带备查，以备评审专家核实。</w:t>
      </w:r>
    </w:p>
    <w:p>
      <w:pPr>
        <w:rPr>
          <w:rFonts w:hint="default" w:ascii="Times New Roman" w:hAnsi="Times New Roman" w:cs="Times New Roman"/>
          <w:color w:val="auto"/>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7"/>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一、招标项目一览表</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zh-CN"/>
        </w:rPr>
      </w:pPr>
      <w:r>
        <w:rPr>
          <w:rFonts w:hint="default" w:ascii="Times New Roman" w:hAnsi="Times New Roman" w:cs="Times New Roman"/>
          <w:bCs/>
          <w:color w:val="auto"/>
          <w:sz w:val="21"/>
          <w:szCs w:val="21"/>
          <w:lang w:val="zh-CN"/>
        </w:rPr>
        <w:t>本次招标共</w:t>
      </w:r>
      <w:r>
        <w:rPr>
          <w:rFonts w:hint="default" w:ascii="Times New Roman" w:hAnsi="Times New Roman" w:cs="Times New Roman"/>
          <w:bCs/>
          <w:color w:val="auto"/>
          <w:sz w:val="21"/>
          <w:szCs w:val="21"/>
          <w:u w:val="single"/>
          <w:lang w:val="en-US" w:eastAsia="zh-CN"/>
        </w:rPr>
        <w:t>1</w:t>
      </w:r>
      <w:r>
        <w:rPr>
          <w:rFonts w:hint="default" w:ascii="Times New Roman" w:hAnsi="Times New Roman" w:cs="Times New Roman"/>
          <w:bCs/>
          <w:color w:val="auto"/>
          <w:sz w:val="21"/>
          <w:szCs w:val="21"/>
          <w:lang w:val="zh-CN"/>
        </w:rPr>
        <w:t>个标段，具体内容如下表：</w:t>
      </w:r>
    </w:p>
    <w:tbl>
      <w:tblPr>
        <w:tblStyle w:val="20"/>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506"/>
        <w:gridCol w:w="1716"/>
        <w:gridCol w:w="734"/>
        <w:gridCol w:w="18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250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18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eastAsia"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rPr>
              <w:t>预算</w:t>
            </w:r>
            <w:r>
              <w:rPr>
                <w:rFonts w:hint="eastAsia" w:cs="Times New Roman" w:eastAsiaTheme="minorEastAsia"/>
                <w:b/>
                <w:color w:val="auto"/>
                <w:sz w:val="21"/>
                <w:szCs w:val="21"/>
                <w:lang w:val="en-US" w:eastAsia="zh-CN"/>
              </w:rPr>
              <w:t>金额</w:t>
            </w:r>
          </w:p>
        </w:tc>
        <w:tc>
          <w:tcPr>
            <w:tcW w:w="134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1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50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玉环漩门湾湿地公园主入口停车场至3号地至5号地至东入口延伸</w:t>
            </w:r>
            <w:r>
              <w:rPr>
                <w:rFonts w:hint="default" w:ascii="Times New Roman" w:hAnsi="Times New Roman" w:cs="Times New Roman" w:eastAsiaTheme="minorEastAsia"/>
                <w:color w:val="auto"/>
                <w:kern w:val="0"/>
                <w:sz w:val="21"/>
                <w:szCs w:val="21"/>
                <w:lang w:val="en-US" w:eastAsia="zh-CN"/>
              </w:rPr>
              <w:t>一</w:t>
            </w:r>
            <w:r>
              <w:rPr>
                <w:rFonts w:hint="default" w:ascii="Times New Roman" w:hAnsi="Times New Roman" w:cs="Times New Roman" w:eastAsiaTheme="minorEastAsia"/>
                <w:color w:val="auto"/>
                <w:kern w:val="0"/>
                <w:sz w:val="21"/>
                <w:szCs w:val="21"/>
                <w:lang w:eastAsia="zh-CN"/>
              </w:rPr>
              <w:t>公里保洁及垃圾清运项目</w:t>
            </w:r>
          </w:p>
        </w:tc>
        <w:tc>
          <w:tcPr>
            <w:tcW w:w="171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kern w:val="2"/>
                <w:sz w:val="21"/>
                <w:szCs w:val="21"/>
                <w:lang w:val="en-US" w:eastAsia="zh-CN" w:bidi="ar"/>
              </w:rPr>
              <w:t>具体要求详见采购文件第四章</w:t>
            </w:r>
          </w:p>
        </w:tc>
        <w:tc>
          <w:tcPr>
            <w:tcW w:w="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1项</w:t>
            </w:r>
          </w:p>
        </w:tc>
        <w:tc>
          <w:tcPr>
            <w:tcW w:w="180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6</w:t>
            </w:r>
            <w:r>
              <w:rPr>
                <w:rFonts w:hint="eastAsia" w:cs="Times New Roman"/>
                <w:color w:val="auto"/>
                <w:kern w:val="2"/>
                <w:sz w:val="21"/>
                <w:szCs w:val="21"/>
                <w:lang w:val="en-US" w:eastAsia="zh-CN" w:bidi="ar"/>
              </w:rPr>
              <w:t>9.00</w:t>
            </w:r>
            <w:r>
              <w:rPr>
                <w:rFonts w:hint="default" w:ascii="Times New Roman" w:hAnsi="Times New Roman" w:cs="Times New Roman"/>
                <w:color w:val="auto"/>
                <w:kern w:val="2"/>
                <w:sz w:val="21"/>
                <w:szCs w:val="21"/>
                <w:lang w:val="en-US" w:eastAsia="zh-CN" w:bidi="ar"/>
              </w:rPr>
              <w:t xml:space="preserve">万元         </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34.5</w:t>
            </w:r>
            <w:r>
              <w:rPr>
                <w:rFonts w:hint="eastAsia" w:cs="Times New Roman"/>
                <w:color w:val="auto"/>
                <w:kern w:val="2"/>
                <w:sz w:val="21"/>
                <w:szCs w:val="21"/>
                <w:lang w:val="en-US" w:eastAsia="zh-CN" w:bidi="ar"/>
              </w:rPr>
              <w:t>0</w:t>
            </w:r>
            <w:r>
              <w:rPr>
                <w:rFonts w:hint="default" w:ascii="Times New Roman" w:hAnsi="Times New Roman" w:eastAsia="宋体" w:cs="Times New Roman"/>
                <w:color w:val="auto"/>
                <w:kern w:val="2"/>
                <w:sz w:val="21"/>
                <w:szCs w:val="21"/>
                <w:lang w:val="en-US" w:eastAsia="zh-CN" w:bidi="ar"/>
              </w:rPr>
              <w:t>万元</w:t>
            </w:r>
            <w:r>
              <w:rPr>
                <w:rFonts w:hint="default" w:ascii="Times New Roman" w:hAnsi="Times New Roman" w:cs="Times New Roman"/>
                <w:color w:val="auto"/>
                <w:kern w:val="2"/>
                <w:sz w:val="21"/>
                <w:szCs w:val="21"/>
                <w:lang w:val="en-US" w:eastAsia="zh-CN" w:bidi="ar"/>
              </w:rPr>
              <w:t>/年</w:t>
            </w:r>
            <w:r>
              <w:rPr>
                <w:rFonts w:hint="default" w:ascii="Times New Roman" w:hAnsi="Times New Roman" w:eastAsia="宋体" w:cs="Times New Roman"/>
                <w:color w:val="auto"/>
                <w:kern w:val="2"/>
                <w:sz w:val="21"/>
                <w:szCs w:val="21"/>
                <w:lang w:val="en-US" w:eastAsia="zh-CN" w:bidi="ar"/>
              </w:rPr>
              <w:t>）</w:t>
            </w:r>
          </w:p>
        </w:tc>
        <w:tc>
          <w:tcPr>
            <w:tcW w:w="134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合同服务期2年</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Cs/>
          <w:sz w:val="21"/>
          <w:szCs w:val="21"/>
          <w:lang w:val="zh-CN"/>
        </w:rPr>
      </w:pPr>
      <w:r>
        <w:rPr>
          <w:rFonts w:hint="default" w:ascii="Times New Roman" w:hAnsi="Times New Roman" w:cs="Times New Roman"/>
          <w:b/>
          <w:color w:val="auto"/>
          <w:sz w:val="21"/>
          <w:szCs w:val="21"/>
        </w:rPr>
        <w:t>▲</w:t>
      </w:r>
      <w:r>
        <w:rPr>
          <w:rFonts w:hint="default" w:ascii="Times New Roman" w:hAnsi="Times New Roman" w:eastAsia="宋体" w:cs="Times New Roman"/>
          <w:b/>
          <w:sz w:val="21"/>
          <w:szCs w:val="21"/>
          <w:lang w:val="en-US" w:eastAsia="zh-CN"/>
        </w:rPr>
        <w:t>二</w:t>
      </w:r>
      <w:r>
        <w:rPr>
          <w:rFonts w:hint="default" w:ascii="Times New Roman" w:hAnsi="Times New Roman" w:eastAsia="宋体" w:cs="Times New Roman"/>
          <w:b/>
          <w:sz w:val="21"/>
          <w:szCs w:val="21"/>
        </w:rPr>
        <w:t>、卫生工作范围（委托管理事项内容）</w:t>
      </w:r>
      <w:r>
        <w:rPr>
          <w:rFonts w:hint="default" w:ascii="Times New Roman" w:hAnsi="Times New Roman" w:eastAsia="宋体" w:cs="Times New Roman"/>
          <w:bCs/>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1、道路清扫</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景区外围道路：水上乐园停车场路口至蓝波湾游船码头（停车场）至园区北桥至五号地主道路至三号地生产区主道路至苔山门口主道路至主入口停车场、厕所及三号地生产区道路，主要道路每日清扫清运，次要道路每月清扫清运两到三次。（附图一份）</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以上区域内设施设备</w:t>
      </w:r>
      <w:r>
        <w:rPr>
          <w:rFonts w:hint="default" w:ascii="Times New Roman" w:hAnsi="Times New Roman" w:cs="Times New Roman"/>
          <w:bCs/>
          <w:sz w:val="21"/>
          <w:szCs w:val="21"/>
          <w:lang w:val="zh-CN"/>
        </w:rPr>
        <w:t>（</w:t>
      </w:r>
      <w:r>
        <w:rPr>
          <w:rFonts w:hint="default" w:ascii="Times New Roman" w:hAnsi="Times New Roman" w:eastAsia="宋体" w:cs="Times New Roman"/>
          <w:bCs/>
          <w:sz w:val="21"/>
          <w:szCs w:val="21"/>
          <w:lang w:val="zh-CN"/>
        </w:rPr>
        <w:t>包括指示牌、标志牌、垃圾桶</w:t>
      </w:r>
      <w:r>
        <w:rPr>
          <w:rFonts w:hint="default" w:ascii="Times New Roman" w:hAnsi="Times New Roman" w:cs="Times New Roman"/>
          <w:bCs/>
          <w:sz w:val="21"/>
          <w:szCs w:val="21"/>
          <w:lang w:val="en-US" w:eastAsia="zh-CN"/>
        </w:rPr>
        <w:t>等</w:t>
      </w:r>
      <w:r>
        <w:rPr>
          <w:rFonts w:hint="default" w:ascii="Times New Roman" w:hAnsi="Times New Roman" w:cs="Times New Roman"/>
          <w:bCs/>
          <w:sz w:val="21"/>
          <w:szCs w:val="21"/>
          <w:lang w:val="zh-CN"/>
        </w:rPr>
        <w:t>）</w:t>
      </w:r>
      <w:r>
        <w:rPr>
          <w:rFonts w:hint="default" w:ascii="Times New Roman" w:hAnsi="Times New Roman" w:eastAsia="宋体" w:cs="Times New Roman"/>
          <w:bCs/>
          <w:sz w:val="21"/>
          <w:szCs w:val="21"/>
          <w:lang w:val="zh-CN"/>
        </w:rPr>
        <w:t>的清洗、保洁。</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2、垃圾清运</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湿地停车场、蓝波湾游船码头区、三号地生产区及景区外围道路沿线的垃圾桶垃圾清运及周边打扫（含临时增加垃圾桶）。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
          <w:bCs/>
          <w:sz w:val="21"/>
          <w:szCs w:val="21"/>
          <w:lang w:val="en-US" w:eastAsia="zh-CN"/>
        </w:rPr>
        <w:t>三</w:t>
      </w:r>
      <w:r>
        <w:rPr>
          <w:rFonts w:hint="default" w:ascii="Times New Roman" w:hAnsi="Times New Roman" w:eastAsia="宋体" w:cs="Times New Roman"/>
          <w:b/>
          <w:bCs/>
          <w:sz w:val="21"/>
          <w:szCs w:val="21"/>
          <w:lang w:val="zh-CN"/>
        </w:rPr>
        <w:t>、保洁工作检查验收标准</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（一）清扫验收标准</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1、每天早上8点前完成普扫，保洁时间上午</w:t>
      </w:r>
      <w:r>
        <w:rPr>
          <w:rFonts w:hint="default" w:ascii="Times New Roman" w:hAnsi="Times New Roman" w:eastAsia="宋体" w:cs="Times New Roman"/>
          <w:bCs/>
          <w:sz w:val="21"/>
          <w:szCs w:val="21"/>
        </w:rPr>
        <w:t>8</w:t>
      </w:r>
      <w:r>
        <w:rPr>
          <w:rFonts w:hint="default" w:ascii="Times New Roman" w:hAnsi="Times New Roman" w:eastAsia="宋体" w:cs="Times New Roman"/>
          <w:bCs/>
          <w:sz w:val="21"/>
          <w:szCs w:val="21"/>
          <w:lang w:val="zh-CN"/>
        </w:rPr>
        <w:t>：</w:t>
      </w:r>
      <w:r>
        <w:rPr>
          <w:rFonts w:hint="default" w:ascii="Times New Roman" w:hAnsi="Times New Roman" w:eastAsia="宋体" w:cs="Times New Roman"/>
          <w:bCs/>
          <w:sz w:val="21"/>
          <w:szCs w:val="21"/>
        </w:rPr>
        <w:t>3</w:t>
      </w:r>
      <w:r>
        <w:rPr>
          <w:rFonts w:hint="default" w:ascii="Times New Roman" w:hAnsi="Times New Roman" w:eastAsia="宋体" w:cs="Times New Roman"/>
          <w:bCs/>
          <w:sz w:val="21"/>
          <w:szCs w:val="21"/>
          <w:lang w:val="zh-CN"/>
        </w:rPr>
        <w:t>0至11:</w:t>
      </w:r>
      <w:r>
        <w:rPr>
          <w:rFonts w:hint="default" w:ascii="Times New Roman" w:hAnsi="Times New Roman" w:eastAsia="宋体" w:cs="Times New Roman"/>
          <w:bCs/>
          <w:sz w:val="21"/>
          <w:szCs w:val="21"/>
        </w:rPr>
        <w:t>0</w:t>
      </w:r>
      <w:r>
        <w:rPr>
          <w:rFonts w:hint="default" w:ascii="Times New Roman" w:hAnsi="Times New Roman" w:eastAsia="宋体" w:cs="Times New Roman"/>
          <w:bCs/>
          <w:sz w:val="21"/>
          <w:szCs w:val="21"/>
          <w:lang w:val="zh-CN"/>
        </w:rPr>
        <w:t>0，下午13:</w:t>
      </w:r>
      <w:r>
        <w:rPr>
          <w:rFonts w:hint="default" w:ascii="Times New Roman" w:hAnsi="Times New Roman" w:eastAsia="宋体" w:cs="Times New Roman"/>
          <w:bCs/>
          <w:sz w:val="21"/>
          <w:szCs w:val="21"/>
        </w:rPr>
        <w:t>0</w:t>
      </w:r>
      <w:r>
        <w:rPr>
          <w:rFonts w:hint="default" w:ascii="Times New Roman" w:hAnsi="Times New Roman" w:eastAsia="宋体" w:cs="Times New Roman"/>
          <w:bCs/>
          <w:sz w:val="21"/>
          <w:szCs w:val="21"/>
          <w:lang w:val="zh-CN"/>
        </w:rPr>
        <w:t>0至1</w:t>
      </w:r>
      <w:r>
        <w:rPr>
          <w:rFonts w:hint="default" w:ascii="Times New Roman" w:hAnsi="Times New Roman" w:eastAsia="宋体" w:cs="Times New Roman"/>
          <w:bCs/>
          <w:sz w:val="21"/>
          <w:szCs w:val="21"/>
        </w:rPr>
        <w:t>7</w:t>
      </w:r>
      <w:r>
        <w:rPr>
          <w:rFonts w:hint="default" w:ascii="Times New Roman" w:hAnsi="Times New Roman" w:eastAsia="宋体" w:cs="Times New Roman"/>
          <w:bCs/>
          <w:sz w:val="21"/>
          <w:szCs w:val="21"/>
          <w:lang w:val="zh-CN"/>
        </w:rPr>
        <w:t>:</w:t>
      </w:r>
      <w:r>
        <w:rPr>
          <w:rFonts w:hint="default" w:ascii="Times New Roman" w:hAnsi="Times New Roman" w:eastAsia="宋体" w:cs="Times New Roman"/>
          <w:bCs/>
          <w:sz w:val="21"/>
          <w:szCs w:val="21"/>
        </w:rPr>
        <w:t>0</w:t>
      </w:r>
      <w:r>
        <w:rPr>
          <w:rFonts w:hint="default" w:ascii="Times New Roman" w:hAnsi="Times New Roman" w:eastAsia="宋体" w:cs="Times New Roman"/>
          <w:bCs/>
          <w:sz w:val="21"/>
          <w:szCs w:val="21"/>
          <w:lang w:val="zh-CN"/>
        </w:rPr>
        <w:t>0</w:t>
      </w:r>
      <w:r>
        <w:rPr>
          <w:rFonts w:hint="default" w:ascii="Times New Roman" w:hAnsi="Times New Roman" w:eastAsia="宋体" w:cs="Times New Roman"/>
          <w:bCs/>
          <w:color w:val="000000"/>
          <w:sz w:val="21"/>
          <w:szCs w:val="21"/>
        </w:rPr>
        <w:t>（节假日及</w:t>
      </w:r>
      <w:r>
        <w:rPr>
          <w:rFonts w:hint="default" w:ascii="Times New Roman" w:hAnsi="Times New Roman" w:eastAsia="宋体" w:cs="Times New Roman"/>
          <w:bCs/>
          <w:sz w:val="21"/>
          <w:szCs w:val="21"/>
        </w:rPr>
        <w:t>游客较多</w:t>
      </w:r>
      <w:r>
        <w:rPr>
          <w:rFonts w:hint="default" w:ascii="Times New Roman" w:hAnsi="Times New Roman" w:eastAsia="宋体" w:cs="Times New Roman"/>
          <w:bCs/>
          <w:color w:val="000000"/>
          <w:sz w:val="21"/>
          <w:szCs w:val="21"/>
        </w:rPr>
        <w:t>期间时间另定）</w:t>
      </w:r>
      <w:r>
        <w:rPr>
          <w:rFonts w:hint="default" w:ascii="Times New Roman" w:hAnsi="Times New Roman" w:eastAsia="宋体" w:cs="Times New Roman"/>
          <w:bCs/>
          <w:sz w:val="21"/>
          <w:szCs w:val="21"/>
          <w:lang w:val="zh-CN"/>
        </w:rPr>
        <w:t>；每个分区区域在规定时间未完成普扫的，一次扣200元，在规定保洁短时间无人保洁的一次扣200元。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2、清扫保洁人员在工作时间内必须着公司统一着装，上班期间不做与本职工作无关的事，不擅离工作岗位。如未按规定着装，一人一次扣50元，各工作区域脱岗一人一次扣</w:t>
      </w:r>
      <w:r>
        <w:rPr>
          <w:rFonts w:hint="default" w:ascii="Times New Roman" w:hAnsi="Times New Roman" w:eastAsia="宋体" w:cs="Times New Roman"/>
          <w:bCs/>
          <w:sz w:val="21"/>
          <w:szCs w:val="21"/>
        </w:rPr>
        <w:t>5</w:t>
      </w:r>
      <w:r>
        <w:rPr>
          <w:rFonts w:hint="default" w:ascii="Times New Roman" w:hAnsi="Times New Roman" w:eastAsia="宋体" w:cs="Times New Roman"/>
          <w:bCs/>
          <w:sz w:val="21"/>
          <w:szCs w:val="21"/>
          <w:lang w:val="zh-CN"/>
        </w:rPr>
        <w:t>00元。保洁人员服装色彩、式样须经景区认可。</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zh-CN"/>
        </w:rPr>
        <w:t>3、清扫保洁工人实行划分区域清扫。乙方必须提供保洁人员真实名单和联系电话。确保清扫区域内无泥砂、残渣、积水、无瓜皮、果壳、烟头和各种包装物、无陈旧落叶、无痰渍、污垢、无牛皮癣和涂鸦。在可视范围内出现5个以上烟头或其他明显垃圾，发现一处扣100元；不是阴雨天10米内</w:t>
      </w:r>
      <w:r>
        <w:rPr>
          <w:rFonts w:hint="default" w:ascii="Times New Roman" w:hAnsi="Times New Roman" w:eastAsia="宋体" w:cs="Times New Roman"/>
          <w:bCs/>
          <w:color w:val="auto"/>
          <w:sz w:val="21"/>
          <w:szCs w:val="21"/>
          <w:lang w:val="zh-CN"/>
        </w:rPr>
        <w:t>不得有3处</w:t>
      </w:r>
      <w:r>
        <w:rPr>
          <w:rFonts w:hint="default" w:ascii="Times New Roman" w:hAnsi="Times New Roman" w:eastAsia="宋体" w:cs="Times New Roman"/>
          <w:bCs/>
          <w:sz w:val="21"/>
          <w:szCs w:val="21"/>
          <w:lang w:val="zh-CN"/>
        </w:rPr>
        <w:t>以上积水或有成堆泥土每处扣100元。</w:t>
      </w:r>
      <w:r>
        <w:rPr>
          <w:rFonts w:hint="default" w:ascii="Times New Roman" w:hAnsi="Times New Roman" w:eastAsia="宋体" w:cs="Times New Roman"/>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4、在清扫保洁区域内，对垃圾必须扫净，倒入垃圾桶内，不得有成堆垃圾，垃圾桶内不得有陈旧性垃圾，垃圾桶必须套袋以便清运，不可就地掩埋垃圾。垃圾桶周边干净整洁，无散落垃圾。超过容积</w:t>
      </w:r>
      <w:r>
        <w:rPr>
          <w:rFonts w:hint="default" w:ascii="Times New Roman" w:hAnsi="Times New Roman" w:eastAsia="宋体" w:cs="Times New Roman"/>
          <w:bCs/>
          <w:sz w:val="21"/>
          <w:szCs w:val="21"/>
        </w:rPr>
        <w:t>30%的扣200元/个，垃圾桶周边未清扫干净的扣100元/个。</w:t>
      </w:r>
      <w:r>
        <w:rPr>
          <w:rFonts w:hint="default" w:ascii="Times New Roman" w:hAnsi="Times New Roman" w:eastAsia="宋体" w:cs="Times New Roman"/>
          <w:bCs/>
          <w:sz w:val="21"/>
          <w:szCs w:val="21"/>
          <w:lang w:val="zh-CN"/>
        </w:rPr>
        <w:t>垃圾桶不套袋或有陈旧垃圾发现一个扣50元；成堆垃圾发现一处扣200-800元；掩埋藏匿垃圾，发现一处扣200-2000元。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5、在清扫区域内，确保各种路牌、指示牌、警示牌、弯道镜、垃圾桶的完整和洁净。如有污渍导致字迹不清或遮拦发现一个扣</w:t>
      </w:r>
      <w:r>
        <w:rPr>
          <w:rFonts w:hint="default" w:ascii="Times New Roman" w:hAnsi="Times New Roman" w:eastAsia="宋体" w:cs="Times New Roman"/>
          <w:bCs/>
          <w:color w:val="000000"/>
          <w:sz w:val="21"/>
          <w:szCs w:val="21"/>
        </w:rPr>
        <w:t>200</w:t>
      </w:r>
      <w:r>
        <w:rPr>
          <w:rFonts w:hint="default" w:ascii="Times New Roman" w:hAnsi="Times New Roman" w:eastAsia="宋体" w:cs="Times New Roman"/>
          <w:bCs/>
          <w:sz w:val="21"/>
          <w:szCs w:val="21"/>
          <w:lang w:val="zh-CN"/>
        </w:rPr>
        <w:t>元，对掉落的指示牌等应及时报告甲方管理人员，且妥善保管。</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6、如遇上级检查，在保洁范围内需突击清理的，应无条件配合甲方安排保洁人员进行清理，如不配合一次扣5000元，且甲方有权无条件终止合同。</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（二）农业区块保洁管护标准</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1、每月2次对农业区道路进行清理；发现一处未按规定清理的扣200-500元。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2、垃圾桶内垃圾每天清除一次，确保垃圾桶内无垃圾。发现未清理一处扣</w:t>
      </w:r>
      <w:r>
        <w:rPr>
          <w:rFonts w:hint="default" w:ascii="Times New Roman" w:hAnsi="Times New Roman" w:eastAsia="宋体" w:cs="Times New Roman"/>
          <w:bCs/>
          <w:sz w:val="21"/>
          <w:szCs w:val="21"/>
        </w:rPr>
        <w:t>100</w:t>
      </w:r>
      <w:r>
        <w:rPr>
          <w:rFonts w:hint="default" w:ascii="Times New Roman" w:hAnsi="Times New Roman" w:eastAsia="宋体" w:cs="Times New Roman"/>
          <w:bCs/>
          <w:sz w:val="21"/>
          <w:szCs w:val="21"/>
          <w:lang w:val="zh-CN"/>
        </w:rPr>
        <w:t>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3、保持垃圾桶整洁，要求每天清洁一次，若发现桶外污秽，每发现一次扣罚100元/只。</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（三）道路管护标准</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保洁范围内道路两侧有排水沟的，做到排水通畅、沟底无泥土、无杂草、无陈旧落叶；两侧或一侧是土坡的道路路沿外2米之内不得有横、枝垂枝；道路两边无护坡的，路沿向外延伸30公分，杂草不能高于路沿；公路两侧栽有绿植的，路沿向上垂直延伸3米，枝叶不得超路沿，地面杂草不能没过路沿，如超标准一处扣200-300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（四）垃圾清运验收标准</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1、每天上午</w:t>
      </w:r>
      <w:r>
        <w:rPr>
          <w:rFonts w:hint="default" w:ascii="Times New Roman" w:hAnsi="Times New Roman" w:eastAsia="宋体" w:cs="Times New Roman"/>
          <w:bCs/>
          <w:color w:val="auto"/>
          <w:sz w:val="21"/>
          <w:szCs w:val="21"/>
        </w:rPr>
        <w:t>9：00</w:t>
      </w:r>
      <w:r>
        <w:rPr>
          <w:rFonts w:hint="default" w:ascii="Times New Roman" w:hAnsi="Times New Roman" w:eastAsia="宋体" w:cs="Times New Roman"/>
          <w:bCs/>
          <w:color w:val="auto"/>
          <w:sz w:val="21"/>
          <w:szCs w:val="21"/>
          <w:lang w:val="zh-CN"/>
        </w:rPr>
        <w:t>点</w:t>
      </w:r>
      <w:r>
        <w:rPr>
          <w:rFonts w:hint="default" w:ascii="Times New Roman" w:hAnsi="Times New Roman" w:eastAsia="宋体" w:cs="Times New Roman"/>
          <w:bCs/>
          <w:sz w:val="21"/>
          <w:szCs w:val="21"/>
          <w:lang w:val="zh-CN"/>
        </w:rPr>
        <w:t>前，法定节假日8:30点前必须完成垃圾清运工作，超时一次扣300元，当天没有清运一次扣800元。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zh-CN"/>
        </w:rPr>
        <w:t>2、垃圾车不遮盖，造成散落的一次扣</w:t>
      </w:r>
      <w:r>
        <w:rPr>
          <w:rFonts w:hint="default" w:ascii="Times New Roman" w:hAnsi="Times New Roman" w:eastAsia="宋体" w:cs="Times New Roman"/>
          <w:bCs/>
          <w:sz w:val="21"/>
          <w:szCs w:val="21"/>
        </w:rPr>
        <w:t>200元。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rPr>
        <w:t>3</w:t>
      </w:r>
      <w:r>
        <w:rPr>
          <w:rFonts w:hint="default" w:ascii="Times New Roman" w:hAnsi="Times New Roman" w:eastAsia="宋体" w:cs="Times New Roman"/>
          <w:bCs/>
          <w:sz w:val="21"/>
          <w:szCs w:val="21"/>
          <w:lang w:val="zh-CN"/>
        </w:rPr>
        <w:t>、如受处罚的点没有整改，将以原处罚金额的2-3倍予以处罚，如有游客投诉所在区域内的清扫保洁质量问题，或因服务态度与游客发生语言或身体冲突，一经证实扣300-800元。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（五）其他</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1、不按规定报送自查表一次扣200元。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zh-CN"/>
        </w:rPr>
        <w:t>2、如有人员变动乙方必须提前书面报告甲方，如乙方擅自更换人员，每变更一人扣罚</w:t>
      </w:r>
      <w:r>
        <w:rPr>
          <w:rFonts w:hint="default" w:ascii="Times New Roman" w:hAnsi="Times New Roman" w:eastAsia="宋体" w:cs="Times New Roman"/>
          <w:bCs/>
          <w:sz w:val="21"/>
          <w:szCs w:val="21"/>
        </w:rPr>
        <w:t>300元。</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3、垃圾清运车辆发生负主要安全责任事故的（交警部门认定）一次扣1000-3000元。</w:t>
      </w:r>
      <w:bookmarkStart w:id="0" w:name="_Toc459624972"/>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4、乙方负责向甲方提供年龄在65周岁以内，身体健康，责任心强的保洁人员上岗，如甲方检查发现超龄人员及条件不符，发现一次扣2000元，累计三次，甲方有权解除合同。</w:t>
      </w:r>
    </w:p>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5、五大区域检查考核项统计</w:t>
      </w:r>
    </w:p>
    <w:tbl>
      <w:tblPr>
        <w:tblStyle w:val="20"/>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类别</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检查项（次）</w:t>
            </w:r>
          </w:p>
        </w:tc>
        <w:tc>
          <w:tcPr>
            <w:tcW w:w="253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清扫验收标准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w:t>
            </w:r>
          </w:p>
        </w:tc>
        <w:tc>
          <w:tcPr>
            <w:tcW w:w="2533" w:type="dxa"/>
            <w:vMerge w:val="restar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每类检查考核项详见各类考核与扣罚小项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农业区块保洁管护标准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2533"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道路管护标准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w:t>
            </w:r>
          </w:p>
        </w:tc>
        <w:tc>
          <w:tcPr>
            <w:tcW w:w="2533"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垃圾清运验收标准</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w:t>
            </w:r>
          </w:p>
        </w:tc>
        <w:tc>
          <w:tcPr>
            <w:tcW w:w="2533"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其他</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w:t>
            </w:r>
          </w:p>
        </w:tc>
        <w:tc>
          <w:tcPr>
            <w:tcW w:w="2533"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合计</w:t>
            </w:r>
          </w:p>
        </w:tc>
        <w:tc>
          <w:tcPr>
            <w:tcW w:w="307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17次</w:t>
            </w:r>
          </w:p>
        </w:tc>
        <w:tc>
          <w:tcPr>
            <w:tcW w:w="2533"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bCs/>
                <w:sz w:val="21"/>
                <w:szCs w:val="21"/>
                <w:lang w:val="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310" w:firstLineChars="148"/>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6、保洁检查考核结果等次划分标准</w:t>
      </w:r>
    </w:p>
    <w:tbl>
      <w:tblPr>
        <w:tblStyle w:val="20"/>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308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检查考核项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zh-CN"/>
              </w:rPr>
              <w:t>合格项占比</w:t>
            </w:r>
            <w:r>
              <w:rPr>
                <w:rFonts w:hint="default" w:ascii="Times New Roman" w:hAnsi="Times New Roman" w:eastAsia="宋体" w:cs="Times New Roman"/>
                <w:bCs/>
                <w:sz w:val="21"/>
                <w:szCs w:val="21"/>
              </w:rPr>
              <w:t>%（项）</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考核等次</w:t>
            </w:r>
          </w:p>
        </w:tc>
        <w:tc>
          <w:tcPr>
            <w:tcW w:w="251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100%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优秀</w:t>
            </w:r>
          </w:p>
        </w:tc>
        <w:tc>
          <w:tcPr>
            <w:tcW w:w="2518" w:type="dxa"/>
            <w:vMerge w:val="restar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检查考核项百分比用四舍五入法取整数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80%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良好</w:t>
            </w:r>
          </w:p>
        </w:tc>
        <w:tc>
          <w:tcPr>
            <w:tcW w:w="2518"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60%</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合格</w:t>
            </w:r>
          </w:p>
        </w:tc>
        <w:tc>
          <w:tcPr>
            <w:tcW w:w="2518"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59%</w:t>
            </w:r>
          </w:p>
        </w:tc>
        <w:tc>
          <w:tcPr>
            <w:tcW w:w="308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r>
              <w:rPr>
                <w:rFonts w:hint="default" w:ascii="Times New Roman" w:hAnsi="Times New Roman" w:eastAsia="宋体" w:cs="Times New Roman"/>
                <w:bCs/>
                <w:sz w:val="21"/>
                <w:szCs w:val="21"/>
                <w:lang w:val="zh-CN"/>
              </w:rPr>
              <w:t>不合格</w:t>
            </w:r>
          </w:p>
        </w:tc>
        <w:tc>
          <w:tcPr>
            <w:tcW w:w="2518"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sz w:val="21"/>
                <w:szCs w:val="21"/>
                <w:lang w:val="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
          <w:bCs/>
          <w:color w:val="auto"/>
          <w:sz w:val="21"/>
          <w:szCs w:val="21"/>
          <w:lang w:val="en-US" w:eastAsia="zh-CN"/>
        </w:rPr>
        <w:t>四、</w:t>
      </w:r>
      <w:r>
        <w:rPr>
          <w:rFonts w:hint="default" w:ascii="Times New Roman" w:hAnsi="Times New Roman" w:eastAsia="宋体" w:cs="Times New Roman"/>
          <w:b/>
          <w:bCs/>
          <w:color w:val="auto"/>
          <w:sz w:val="21"/>
          <w:szCs w:val="21"/>
        </w:rPr>
        <w:t>服务要求</w:t>
      </w:r>
      <w:bookmarkEnd w:id="0"/>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Cs/>
          <w:color w:val="auto"/>
          <w:sz w:val="21"/>
          <w:szCs w:val="21"/>
        </w:rPr>
        <w:t>1、乙方须明确景区委托管理事项、</w:t>
      </w:r>
      <w:r>
        <w:rPr>
          <w:rFonts w:hint="eastAsia" w:cs="Times New Roman"/>
          <w:bCs/>
          <w:color w:val="auto"/>
          <w:sz w:val="21"/>
          <w:szCs w:val="21"/>
          <w:lang w:eastAsia="zh-CN"/>
        </w:rPr>
        <w:t>保洁</w:t>
      </w:r>
      <w:r>
        <w:rPr>
          <w:rFonts w:hint="default" w:ascii="Times New Roman" w:hAnsi="Times New Roman" w:eastAsia="宋体" w:cs="Times New Roman"/>
          <w:bCs/>
          <w:color w:val="auto"/>
          <w:sz w:val="21"/>
          <w:szCs w:val="21"/>
        </w:rPr>
        <w:t>制度</w:t>
      </w:r>
      <w:r>
        <w:rPr>
          <w:rFonts w:hint="default" w:ascii="Times New Roman" w:hAnsi="Times New Roman" w:eastAsia="宋体" w:cs="Times New Roman"/>
          <w:bCs/>
          <w:strike/>
          <w:dstrike w:val="0"/>
          <w:color w:val="auto"/>
          <w:sz w:val="21"/>
          <w:szCs w:val="21"/>
        </w:rPr>
        <w:t>上墙</w:t>
      </w:r>
      <w:r>
        <w:rPr>
          <w:rFonts w:hint="default" w:ascii="Times New Roman" w:hAnsi="Times New Roman" w:eastAsia="宋体" w:cs="Times New Roman"/>
          <w:bCs/>
          <w:color w:val="auto"/>
          <w:sz w:val="21"/>
          <w:szCs w:val="21"/>
        </w:rPr>
        <w:t>、服务范围</w:t>
      </w:r>
      <w:r>
        <w:rPr>
          <w:rFonts w:hint="eastAsia" w:cs="Times New Roman"/>
          <w:bCs/>
          <w:color w:val="auto"/>
          <w:sz w:val="21"/>
          <w:szCs w:val="21"/>
          <w:lang w:eastAsia="zh-CN"/>
        </w:rPr>
        <w:t>等</w:t>
      </w:r>
      <w:r>
        <w:rPr>
          <w:rFonts w:hint="default" w:ascii="Times New Roman" w:hAnsi="Times New Roman" w:eastAsia="宋体" w:cs="Times New Roman"/>
          <w:bCs/>
          <w:color w:val="auto"/>
          <w:sz w:val="21"/>
          <w:szCs w:val="21"/>
        </w:rPr>
        <w:t>内容</w:t>
      </w:r>
      <w:r>
        <w:rPr>
          <w:rFonts w:hint="eastAsia" w:cs="Times New Roman"/>
          <w:bCs/>
          <w:color w:val="auto"/>
          <w:sz w:val="21"/>
          <w:szCs w:val="21"/>
          <w:lang w:eastAsia="zh-CN"/>
        </w:rPr>
        <w:t>及</w:t>
      </w:r>
      <w:r>
        <w:rPr>
          <w:rFonts w:hint="default" w:ascii="Times New Roman" w:hAnsi="Times New Roman" w:eastAsia="宋体" w:cs="Times New Roman"/>
          <w:bCs/>
          <w:color w:val="auto"/>
          <w:sz w:val="21"/>
          <w:szCs w:val="21"/>
        </w:rPr>
        <w:t>要求，并明确《保洁工作验收标准》，在提供保洁管理期间将严格按照招标</w:t>
      </w:r>
      <w:r>
        <w:rPr>
          <w:rFonts w:hint="eastAsia" w:cs="Times New Roman"/>
          <w:bCs/>
          <w:color w:val="auto"/>
          <w:sz w:val="21"/>
          <w:szCs w:val="21"/>
          <w:lang w:eastAsia="zh-CN"/>
        </w:rPr>
        <w:t>文件</w:t>
      </w:r>
      <w:r>
        <w:rPr>
          <w:rFonts w:hint="default" w:ascii="Times New Roman" w:hAnsi="Times New Roman" w:eastAsia="宋体" w:cs="Times New Roman"/>
          <w:bCs/>
          <w:color w:val="auto"/>
          <w:sz w:val="21"/>
          <w:szCs w:val="21"/>
        </w:rPr>
        <w:t>要求执行，并</w:t>
      </w:r>
      <w:r>
        <w:rPr>
          <w:rFonts w:hint="eastAsia" w:cs="Times New Roman"/>
          <w:bCs/>
          <w:color w:val="auto"/>
          <w:sz w:val="21"/>
          <w:szCs w:val="21"/>
          <w:lang w:eastAsia="zh-CN"/>
        </w:rPr>
        <w:t>服从</w:t>
      </w:r>
      <w:r>
        <w:rPr>
          <w:rFonts w:hint="default" w:ascii="Times New Roman" w:hAnsi="Times New Roman" w:eastAsia="宋体" w:cs="Times New Roman"/>
          <w:bCs/>
          <w:color w:val="auto"/>
          <w:sz w:val="21"/>
          <w:szCs w:val="21"/>
        </w:rPr>
        <w:t>甲方的管理，配合甲方开展各项工作。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2、乙方须严格按照甲方景区管理规章制度和行业规范</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优质完成甲方委托的各项保洁服务</w:t>
      </w:r>
      <w:r>
        <w:rPr>
          <w:rFonts w:hint="eastAsia" w:cs="Times New Roman"/>
          <w:bCs/>
          <w:color w:val="auto"/>
          <w:sz w:val="21"/>
          <w:szCs w:val="21"/>
          <w:lang w:eastAsia="zh-CN"/>
        </w:rPr>
        <w:t>，并</w:t>
      </w:r>
      <w:r>
        <w:rPr>
          <w:rFonts w:hint="default" w:ascii="Times New Roman" w:hAnsi="Times New Roman" w:eastAsia="宋体" w:cs="Times New Roman"/>
          <w:bCs/>
          <w:color w:val="auto"/>
          <w:sz w:val="21"/>
          <w:szCs w:val="21"/>
        </w:rPr>
        <w:t>接受甲方监督、检查、指导及相关工作安排。</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3、乙方须认真履行《公共场所卫生管理条例》及有关法律法规要求的相关义务，并承担卫生管理过程中的安全相应责任和费用。</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4、乙方招聘健康人员从事清扫保洁工作。乙方清扫保洁人员不低于8人（含垃圾清倒清运1名）。国家法定节假日必须在其它岗位抽调人员至人流量较多点的</w:t>
      </w:r>
      <w:r>
        <w:rPr>
          <w:rFonts w:hint="eastAsia" w:cs="Times New Roman"/>
          <w:bCs/>
          <w:color w:val="auto"/>
          <w:sz w:val="21"/>
          <w:szCs w:val="21"/>
          <w:lang w:val="en-US" w:eastAsia="zh-CN"/>
        </w:rPr>
        <w:t>岗位</w:t>
      </w:r>
      <w:r>
        <w:rPr>
          <w:rFonts w:hint="default" w:ascii="Times New Roman" w:hAnsi="Times New Roman" w:eastAsia="宋体" w:cs="Times New Roman"/>
          <w:bCs/>
          <w:color w:val="auto"/>
          <w:sz w:val="21"/>
          <w:szCs w:val="21"/>
        </w:rPr>
        <w:t>，实行全天候保洁。</w:t>
      </w:r>
      <w:r>
        <w:rPr>
          <w:rFonts w:hint="eastAsia" w:cs="Times New Roman"/>
          <w:bCs/>
          <w:color w:val="auto"/>
          <w:sz w:val="21"/>
          <w:szCs w:val="21"/>
          <w:lang w:val="en-US" w:eastAsia="zh-CN"/>
        </w:rPr>
        <w:t>若甲方遇到特殊情况，需要临时增加人员的，</w:t>
      </w:r>
      <w:r>
        <w:rPr>
          <w:rFonts w:hint="default" w:ascii="Times New Roman" w:hAnsi="Times New Roman" w:eastAsia="宋体" w:cs="Times New Roman"/>
          <w:bCs/>
          <w:color w:val="auto"/>
          <w:sz w:val="21"/>
          <w:szCs w:val="21"/>
        </w:rPr>
        <w:t>临时新增人员提前3日上报甲方审定，新增人员费用由</w:t>
      </w:r>
      <w:r>
        <w:rPr>
          <w:rFonts w:hint="eastAsia" w:cs="Times New Roman"/>
          <w:bCs/>
          <w:color w:val="auto"/>
          <w:sz w:val="21"/>
          <w:szCs w:val="21"/>
          <w:lang w:val="en-US" w:eastAsia="zh-CN"/>
        </w:rPr>
        <w:t>甲</w:t>
      </w:r>
      <w:r>
        <w:rPr>
          <w:rFonts w:hint="default" w:ascii="Times New Roman" w:hAnsi="Times New Roman" w:eastAsia="宋体" w:cs="Times New Roman"/>
          <w:bCs/>
          <w:color w:val="auto"/>
          <w:sz w:val="21"/>
          <w:szCs w:val="21"/>
        </w:rPr>
        <w:t>方负责</w:t>
      </w:r>
      <w:r>
        <w:rPr>
          <w:rFonts w:hint="eastAsia" w:cs="Times New Roman"/>
          <w:bCs/>
          <w:color w:val="auto"/>
          <w:sz w:val="21"/>
          <w:szCs w:val="21"/>
          <w:lang w:eastAsia="zh-CN"/>
        </w:rPr>
        <w:t>，具体费用结算按照乙方中标价计算日薪或时薪</w:t>
      </w:r>
      <w:r>
        <w:rPr>
          <w:rFonts w:hint="default" w:ascii="Times New Roman" w:hAnsi="Times New Roman" w:eastAsia="宋体" w:cs="Times New Roman"/>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5、乙方须严格按照《劳动法》等有关法律法规实行合同用工，为工人购买保险劳动保障。按时按国家规定发放工资及津贴。乙方所聘人员的各类保险费用由乙方自行承担。乙方人员因工作原因引起的侵权或相关民事、刑事、劳动纠纷、工伤而造成相关损失的，由乙方承担全部责任，甲方概不承担任何经济和法律责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6、乙方必须向工作人员提供劳动工具和服装。乙方工作人员必须统一着装，行为规范文明，服务主动热情。甲方有权要求乙方解除工作质量不高，服务态度不好的工作人员的劳动关系。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7、乙方垃圾倾倒场地自行落实，但要选择玉环市行政执法局、玉环经济开发区认可的地点，并报告给甲方备案。同时乙方承担垃圾清运与堆放等全部费用。</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8、垃圾清运车辆的车型需经甲方认可，且报甲方备案</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车辆的购置、保险、年检、维修、油</w:t>
      </w:r>
      <w:r>
        <w:rPr>
          <w:rFonts w:hint="eastAsia" w:cs="Times New Roman"/>
          <w:bCs/>
          <w:color w:val="auto"/>
          <w:sz w:val="21"/>
          <w:szCs w:val="21"/>
          <w:lang w:eastAsia="zh-CN"/>
        </w:rPr>
        <w:t>电</w:t>
      </w:r>
      <w:r>
        <w:rPr>
          <w:rFonts w:hint="default" w:ascii="Times New Roman" w:hAnsi="Times New Roman" w:eastAsia="宋体" w:cs="Times New Roman"/>
          <w:bCs/>
          <w:color w:val="auto"/>
          <w:sz w:val="21"/>
          <w:szCs w:val="21"/>
        </w:rPr>
        <w:t>等相关费用由乙方自行承担。乙方独立承担车辆的违章、事故等引起的相关法律责任和经济责任</w:t>
      </w:r>
      <w:r>
        <w:rPr>
          <w:rFonts w:hint="eastAsia" w:cs="Times New Roman"/>
          <w:bCs/>
          <w:color w:val="auto"/>
          <w:sz w:val="21"/>
          <w:szCs w:val="21"/>
          <w:lang w:eastAsia="zh-CN"/>
        </w:rPr>
        <w:t>。乙方须</w:t>
      </w:r>
      <w:r>
        <w:rPr>
          <w:rFonts w:hint="default" w:ascii="Times New Roman" w:hAnsi="Times New Roman" w:eastAsia="宋体" w:cs="Times New Roman"/>
          <w:bCs/>
          <w:color w:val="auto"/>
          <w:sz w:val="21"/>
          <w:szCs w:val="21"/>
        </w:rPr>
        <w:t>保持车况良好、无擦刮、无锈蚀、外观</w:t>
      </w:r>
      <w:r>
        <w:rPr>
          <w:rFonts w:hint="eastAsia" w:cs="Times New Roman"/>
          <w:bCs/>
          <w:color w:val="auto"/>
          <w:sz w:val="21"/>
          <w:szCs w:val="21"/>
          <w:lang w:eastAsia="zh-CN"/>
        </w:rPr>
        <w:t>整洁无污秽物且无恶臭，在游客高峰期及主要出入口、通道必须作业时，清运车辆须隐蔽停放</w:t>
      </w:r>
      <w:r>
        <w:rPr>
          <w:rFonts w:hint="default" w:ascii="Times New Roman" w:hAnsi="Times New Roman" w:eastAsia="宋体" w:cs="Times New Roman"/>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9、乙方向甲方交书面检查情况（每周两次）。</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10、乙方必须向甲方提供所聘人员情况表及联系方式。</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11、当前玉环全面推行垃圾分类及专类垃圾处理工作，在景区垃圾分类收集前提下，乙方必须严格按照要求分类收集，分类运送投放。</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12、保洁产生的垃圾不得随意堆放在绿化带及其它</w:t>
      </w:r>
      <w:r>
        <w:rPr>
          <w:rFonts w:hint="eastAsia" w:cs="Times New Roman"/>
          <w:bCs/>
          <w:color w:val="auto"/>
          <w:sz w:val="21"/>
          <w:szCs w:val="21"/>
          <w:lang w:eastAsia="zh-CN"/>
        </w:rPr>
        <w:t>未报备甲方同意的</w:t>
      </w:r>
      <w:r>
        <w:rPr>
          <w:rFonts w:hint="default" w:ascii="Times New Roman" w:hAnsi="Times New Roman" w:eastAsia="宋体" w:cs="Times New Roman"/>
          <w:bCs/>
          <w:color w:val="auto"/>
          <w:sz w:val="21"/>
          <w:szCs w:val="21"/>
        </w:rPr>
        <w:t>区域。</w:t>
      </w: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rPr>
          <w:rFonts w:hint="eastAsia" w:ascii="Times New Roman" w:hAnsi="Times New Roman" w:eastAsia="宋体" w:cs="Times New Roman"/>
          <w:color w:val="auto"/>
          <w:sz w:val="24"/>
          <w:lang w:eastAsia="zh-CN"/>
        </w:rPr>
      </w:pPr>
      <w:r>
        <w:rPr>
          <w:rFonts w:hint="eastAsia" w:cs="Times New Roman"/>
          <w:color w:val="auto"/>
          <w:sz w:val="24"/>
          <w:lang w:eastAsia="zh-CN"/>
        </w:rPr>
        <w:t>服务范围区域图</w:t>
      </w:r>
    </w:p>
    <w:p>
      <w:pPr>
        <w:rPr>
          <w:rFonts w:hint="default" w:ascii="Times New Roman" w:hAnsi="Times New Roman" w:cs="Times New Roman"/>
          <w:sz w:val="24"/>
        </w:rPr>
      </w:pPr>
      <w:r>
        <w:rPr>
          <w:rFonts w:hint="default" w:ascii="Times New Roman" w:hAnsi="Times New Roman" w:cs="Times New Roman"/>
          <w:b/>
          <w:bCs/>
          <w:sz w:val="32"/>
          <w:szCs w:val="32"/>
        </w:rPr>
        <w:drawing>
          <wp:anchor distT="0" distB="0" distL="114300" distR="114300" simplePos="0" relativeHeight="251660288" behindDoc="0" locked="0" layoutInCell="1" allowOverlap="1">
            <wp:simplePos x="0" y="0"/>
            <wp:positionH relativeFrom="column">
              <wp:posOffset>-199390</wp:posOffset>
            </wp:positionH>
            <wp:positionV relativeFrom="paragraph">
              <wp:posOffset>93980</wp:posOffset>
            </wp:positionV>
            <wp:extent cx="5621655" cy="8583930"/>
            <wp:effectExtent l="0" t="0" r="17145"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21655" cy="8583930"/>
                    </a:xfrm>
                    <a:prstGeom prst="rect">
                      <a:avLst/>
                    </a:prstGeom>
                    <a:noFill/>
                    <a:ln>
                      <a:noFill/>
                    </a:ln>
                  </pic:spPr>
                </pic:pic>
              </a:graphicData>
            </a:graphic>
          </wp:anchor>
        </w:drawing>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b/>
          <w:bCs/>
          <w:sz w:val="32"/>
          <w:szCs w:val="32"/>
        </w:rPr>
        <w:drawing>
          <wp:anchor distT="0" distB="0" distL="114300" distR="114300" simplePos="0" relativeHeight="251659264" behindDoc="0" locked="0" layoutInCell="1" allowOverlap="1">
            <wp:simplePos x="0" y="0"/>
            <wp:positionH relativeFrom="column">
              <wp:posOffset>-7066280</wp:posOffset>
            </wp:positionH>
            <wp:positionV relativeFrom="paragraph">
              <wp:posOffset>134620</wp:posOffset>
            </wp:positionV>
            <wp:extent cx="5706110" cy="9154795"/>
            <wp:effectExtent l="0" t="0" r="8890" b="825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706110" cy="9154795"/>
                    </a:xfrm>
                    <a:prstGeom prst="rect">
                      <a:avLst/>
                    </a:prstGeom>
                    <a:noFill/>
                    <a:ln>
                      <a:noFill/>
                    </a:ln>
                  </pic:spPr>
                </pic:pic>
              </a:graphicData>
            </a:graphic>
          </wp:anchor>
        </w:drawing>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p>
    <w:p>
      <w:pPr>
        <w:pStyle w:val="28"/>
        <w:rPr>
          <w:rFonts w:hint="default" w:ascii="Times New Roman" w:hAnsi="Times New Roman" w:cs="Times New Roman" w:eastAsiaTheme="minorEastAsia"/>
          <w:b/>
          <w:color w:val="auto"/>
          <w:sz w:val="21"/>
          <w:szCs w:val="21"/>
        </w:rPr>
      </w:pPr>
    </w:p>
    <w:p>
      <w:pPr>
        <w:pStyle w:val="28"/>
        <w:rPr>
          <w:rFonts w:hint="default" w:ascii="Times New Roman" w:hAnsi="Times New Roman" w:cs="Times New Roman" w:eastAsiaTheme="minorEastAsia"/>
          <w:b/>
          <w:color w:val="auto"/>
          <w:sz w:val="21"/>
          <w:szCs w:val="21"/>
        </w:rPr>
      </w:pPr>
    </w:p>
    <w:p>
      <w:pPr>
        <w:pStyle w:val="28"/>
        <w:rPr>
          <w:rFonts w:hint="default" w:ascii="Times New Roman" w:hAnsi="Times New Roman" w:cs="Times New Roman" w:eastAsiaTheme="minorEastAsia"/>
          <w:b/>
          <w:color w:val="auto"/>
          <w:sz w:val="21"/>
          <w:szCs w:val="21"/>
        </w:rPr>
      </w:pP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lang w:eastAsia="zh-CN"/>
        </w:rPr>
      </w:pPr>
    </w:p>
    <w:p>
      <w:pPr>
        <w:pStyle w:val="6"/>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6"/>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cs="Times New Roman" w:eastAsiaTheme="minorEastAsia"/>
          <w:b/>
          <w:color w:val="auto"/>
          <w:sz w:val="21"/>
          <w:szCs w:val="21"/>
          <w:lang w:val="en-US" w:eastAsia="zh-CN"/>
        </w:rPr>
      </w:pPr>
      <w:r>
        <w:rPr>
          <w:rFonts w:hint="eastAsia" w:cs="Times New Roman" w:eastAsiaTheme="minorEastAsia"/>
          <w:b/>
          <w:color w:val="auto"/>
          <w:sz w:val="21"/>
          <w:szCs w:val="21"/>
          <w:lang w:val="en-US" w:eastAsia="zh-CN"/>
        </w:rPr>
        <w:t>五</w:t>
      </w:r>
      <w:r>
        <w:rPr>
          <w:rFonts w:hint="default" w:ascii="Times New Roman" w:hAnsi="Times New Roman" w:cs="Times New Roman" w:eastAsiaTheme="minorEastAsia"/>
          <w:b/>
          <w:color w:val="auto"/>
          <w:sz w:val="21"/>
          <w:szCs w:val="21"/>
          <w:lang w:val="en-US" w:eastAsia="zh-CN"/>
        </w:rPr>
        <w:t>、商务需求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1、服务期：2年（具体起止时间在合同签订时由采购人明确）。</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2、付款条件：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1）甲方按每月将管理服务费支付给乙方。每月支付采购合同服务费为合同总价/24个月。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3、备品备件及耗材等要求：由投标人在投标文件中承诺。</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4、履约保证金：中标人在签订合同前向采购人缴纳本项目合同金额的2%作为履约保证金，服务期满结算。</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textAlignment w:val="auto"/>
        <w:rPr>
          <w:rFonts w:hint="default" w:ascii="Times New Roman" w:hAnsi="Times New Roman" w:cs="Times New Roman" w:eastAsiaTheme="minorEastAsia"/>
          <w:b/>
          <w:color w:val="auto"/>
          <w:sz w:val="21"/>
          <w:szCs w:val="21"/>
          <w:lang w:val="en-US" w:eastAsia="zh-CN"/>
        </w:rPr>
      </w:pPr>
      <w:r>
        <w:rPr>
          <w:rFonts w:hint="eastAsia" w:cs="Times New Roman" w:eastAsiaTheme="minorEastAsia"/>
          <w:b/>
          <w:color w:val="auto"/>
          <w:sz w:val="21"/>
          <w:szCs w:val="21"/>
          <w:lang w:val="en-US" w:eastAsia="zh-CN"/>
        </w:rPr>
        <w:t>六</w:t>
      </w:r>
      <w:r>
        <w:rPr>
          <w:rFonts w:hint="default" w:ascii="Times New Roman" w:hAnsi="Times New Roman" w:cs="Times New Roman" w:eastAsiaTheme="minorEastAsia"/>
          <w:b/>
          <w:color w:val="auto"/>
          <w:sz w:val="21"/>
          <w:szCs w:val="21"/>
          <w:lang w:val="en-US" w:eastAsia="zh-CN"/>
        </w:rPr>
        <w:t>、相关说明</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1、中标人进场时间要求：在签订合同后15天内进场办理交接手续。</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2、电子投标文件与纸质有出入的，以纸质为准。</w:t>
      </w: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color w:val="auto"/>
          <w:sz w:val="28"/>
          <w:szCs w:val="28"/>
          <w:lang w:eastAsia="zh-CN"/>
        </w:rPr>
        <w:t>第五章</w:t>
      </w:r>
      <w:r>
        <w:rPr>
          <w:rFonts w:hint="default" w:ascii="Times New Roman" w:hAnsi="Times New Roman" w:cs="Times New Roman" w:eastAsiaTheme="minorEastAsia"/>
          <w:b/>
          <w:color w:val="auto"/>
          <w:sz w:val="28"/>
          <w:szCs w:val="28"/>
          <w:lang w:val="en-US" w:eastAsia="zh-CN"/>
        </w:rPr>
        <w:t xml:space="preserve"> </w:t>
      </w:r>
      <w:r>
        <w:rPr>
          <w:rFonts w:hint="default" w:ascii="Times New Roman" w:hAnsi="Times New Roman" w:cs="Times New Roman" w:eastAsiaTheme="minorEastAsia"/>
          <w:b/>
          <w:color w:val="auto"/>
          <w:sz w:val="28"/>
          <w:szCs w:val="28"/>
        </w:rPr>
        <w:t>政府采购合同主要条款指引</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甲方：</w:t>
      </w:r>
      <w:r>
        <w:rPr>
          <w:rFonts w:hint="default" w:ascii="Times New Roman" w:hAnsi="Times New Roman" w:cs="Times New Roman"/>
          <w:color w:val="auto"/>
          <w:szCs w:val="21"/>
          <w:lang w:eastAsia="zh-CN"/>
        </w:rPr>
        <w:t>玉环市旅游集团</w:t>
      </w:r>
      <w:r>
        <w:rPr>
          <w:rFonts w:hint="default" w:ascii="Times New Roman" w:hAnsi="Times New Roman" w:cs="Times New Roman"/>
          <w:color w:val="auto"/>
          <w:szCs w:val="21"/>
        </w:rPr>
        <w:t>有限公司</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乙方：</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为了切实做好</w:t>
      </w:r>
      <w:r>
        <w:rPr>
          <w:rFonts w:hint="default" w:ascii="Times New Roman" w:hAnsi="Times New Roman" w:cs="Times New Roman"/>
          <w:color w:val="auto"/>
          <w:szCs w:val="21"/>
          <w:lang w:eastAsia="zh-CN"/>
        </w:rPr>
        <w:t>玉环漩门湾湿地公园主入口停车场至3号地至5 号地至东入口延伸一公里保洁及垃圾清运项目</w:t>
      </w:r>
      <w:r>
        <w:rPr>
          <w:rFonts w:hint="default" w:ascii="Times New Roman" w:hAnsi="Times New Roman" w:cs="Times New Roman"/>
          <w:color w:val="auto"/>
          <w:szCs w:val="21"/>
        </w:rPr>
        <w:t>工作，创造一个整洁、优美、</w:t>
      </w:r>
      <w:r>
        <w:rPr>
          <w:rFonts w:hint="default" w:ascii="Times New Roman" w:hAnsi="Times New Roman" w:cs="Times New Roman"/>
          <w:color w:val="auto"/>
          <w:szCs w:val="21"/>
          <w:lang w:eastAsia="zh-CN"/>
        </w:rPr>
        <w:t>舒适的</w:t>
      </w:r>
      <w:r>
        <w:rPr>
          <w:rFonts w:hint="default" w:ascii="Times New Roman" w:hAnsi="Times New Roman" w:cs="Times New Roman"/>
          <w:color w:val="auto"/>
          <w:szCs w:val="21"/>
        </w:rPr>
        <w:t>游憩环境。根据《台州市物业管理实施办法》等有关规定，经</w:t>
      </w:r>
      <w:r>
        <w:rPr>
          <w:rFonts w:hint="default" w:ascii="Times New Roman" w:hAnsi="Times New Roman" w:cs="Times New Roman"/>
          <w:color w:val="auto"/>
          <w:szCs w:val="21"/>
          <w:lang w:eastAsia="zh-CN"/>
        </w:rPr>
        <w:t>公开招标</w:t>
      </w:r>
      <w:r>
        <w:rPr>
          <w:rFonts w:hint="default" w:ascii="Times New Roman" w:hAnsi="Times New Roman" w:cs="Times New Roman"/>
          <w:color w:val="auto"/>
          <w:szCs w:val="21"/>
        </w:rPr>
        <w:t>，委托乙方对</w:t>
      </w:r>
      <w:r>
        <w:rPr>
          <w:rFonts w:hint="default" w:ascii="Times New Roman" w:hAnsi="Times New Roman" w:cs="Times New Roman"/>
          <w:color w:val="auto"/>
          <w:szCs w:val="21"/>
          <w:lang w:eastAsia="zh-CN"/>
        </w:rPr>
        <w:t>甲方观光园景区</w:t>
      </w:r>
      <w:r>
        <w:rPr>
          <w:rFonts w:hint="default" w:ascii="Times New Roman" w:hAnsi="Times New Roman" w:cs="Times New Roman"/>
          <w:color w:val="auto"/>
          <w:szCs w:val="21"/>
        </w:rPr>
        <w:t>实行专业化保洁</w:t>
      </w:r>
      <w:r>
        <w:rPr>
          <w:rFonts w:hint="default" w:ascii="Times New Roman" w:hAnsi="Times New Roman" w:cs="Times New Roman"/>
          <w:color w:val="auto"/>
          <w:szCs w:val="21"/>
          <w:lang w:eastAsia="zh-CN"/>
        </w:rPr>
        <w:t>服务</w:t>
      </w:r>
      <w:r>
        <w:rPr>
          <w:rFonts w:hint="default" w:ascii="Times New Roman" w:hAnsi="Times New Roman" w:cs="Times New Roman"/>
          <w:color w:val="auto"/>
          <w:szCs w:val="21"/>
        </w:rPr>
        <w:t>，为明确双方责任，特订立如下协议：</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一、</w:t>
      </w:r>
      <w:r>
        <w:rPr>
          <w:rFonts w:hint="default" w:ascii="Times New Roman" w:hAnsi="Times New Roman" w:cs="Times New Roman"/>
          <w:color w:val="auto"/>
          <w:szCs w:val="21"/>
          <w:lang w:eastAsia="zh-CN"/>
        </w:rPr>
        <w:t>保洁服务要求</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详招标文件中的招标需求</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甲方根据实际情况可能调整实施范围，但总体范围及面积保持</w:t>
      </w:r>
      <w:r>
        <w:rPr>
          <w:rFonts w:hint="eastAsia" w:cs="Times New Roman"/>
          <w:color w:val="auto"/>
          <w:szCs w:val="21"/>
          <w:lang w:val="en-US" w:eastAsia="zh-CN"/>
        </w:rPr>
        <w:t>与</w:t>
      </w:r>
      <w:r>
        <w:rPr>
          <w:rFonts w:hint="default" w:ascii="Times New Roman" w:hAnsi="Times New Roman" w:cs="Times New Roman"/>
          <w:color w:val="auto"/>
          <w:szCs w:val="21"/>
          <w:lang w:val="en-US" w:eastAsia="zh-CN"/>
        </w:rPr>
        <w:t>原招标需求相当</w:t>
      </w:r>
      <w:r>
        <w:rPr>
          <w:rFonts w:hint="default" w:ascii="Times New Roman" w:hAnsi="Times New Roman" w:cs="Times New Roman"/>
          <w:color w:val="auto"/>
          <w:szCs w:val="21"/>
          <w:lang w:eastAsia="zh-CN"/>
        </w:rPr>
        <w:t>）。</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二、委托</w:t>
      </w:r>
      <w:r>
        <w:rPr>
          <w:rFonts w:hint="default" w:ascii="Times New Roman" w:hAnsi="Times New Roman" w:cs="Times New Roman"/>
          <w:color w:val="auto"/>
          <w:szCs w:val="21"/>
          <w:lang w:eastAsia="zh-CN"/>
        </w:rPr>
        <w:t>服务</w:t>
      </w:r>
      <w:r>
        <w:rPr>
          <w:rFonts w:hint="default" w:ascii="Times New Roman" w:hAnsi="Times New Roman" w:cs="Times New Roman"/>
          <w:color w:val="auto"/>
          <w:szCs w:val="21"/>
        </w:rPr>
        <w:t>期限</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服务</w:t>
      </w:r>
      <w:r>
        <w:rPr>
          <w:rFonts w:hint="default" w:ascii="Times New Roman" w:hAnsi="Times New Roman" w:cs="Times New Roman"/>
          <w:color w:val="auto"/>
          <w:szCs w:val="21"/>
        </w:rPr>
        <w:t>期限</w:t>
      </w:r>
      <w:r>
        <w:rPr>
          <w:rFonts w:hint="default" w:ascii="Times New Roman" w:hAnsi="Times New Roman" w:cs="Times New Roman"/>
          <w:color w:val="auto"/>
          <w:szCs w:val="21"/>
          <w:u w:val="single"/>
          <w:lang w:val="en-US" w:eastAsia="zh-CN"/>
        </w:rPr>
        <w:t>2</w:t>
      </w:r>
      <w:r>
        <w:rPr>
          <w:rFonts w:hint="default" w:ascii="Times New Roman" w:hAnsi="Times New Roman" w:cs="Times New Roman"/>
          <w:color w:val="auto"/>
          <w:szCs w:val="21"/>
        </w:rPr>
        <w:t>年，自</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日起至</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日止</w:t>
      </w:r>
      <w:r>
        <w:rPr>
          <w:rFonts w:hint="default" w:ascii="Times New Roman" w:hAnsi="Times New Roman" w:cs="Times New Roman"/>
          <w:color w:val="auto"/>
          <w:szCs w:val="21"/>
          <w:lang w:eastAsia="zh-CN"/>
        </w:rPr>
        <w:t>，若乙方严重降低保洁标准或经整改且无明显效果的，甲方有权单方终止合同，由此引起的责任和损失由乙方承担</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三、管理</w:t>
      </w:r>
      <w:r>
        <w:rPr>
          <w:rFonts w:hint="default" w:ascii="Times New Roman" w:hAnsi="Times New Roman" w:cs="Times New Roman"/>
          <w:color w:val="auto"/>
          <w:szCs w:val="21"/>
          <w:lang w:eastAsia="zh-CN"/>
        </w:rPr>
        <w:t>服务</w:t>
      </w:r>
      <w:r>
        <w:rPr>
          <w:rFonts w:hint="default" w:ascii="Times New Roman" w:hAnsi="Times New Roman" w:cs="Times New Roman"/>
          <w:color w:val="auto"/>
          <w:szCs w:val="21"/>
        </w:rPr>
        <w:t>费结算</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1、管理服务</w:t>
      </w:r>
      <w:r>
        <w:rPr>
          <w:rFonts w:hint="default" w:ascii="Times New Roman" w:hAnsi="Times New Roman" w:cs="Times New Roman"/>
          <w:color w:val="auto"/>
          <w:szCs w:val="21"/>
          <w:lang w:val="en-US" w:eastAsia="zh-CN"/>
        </w:rPr>
        <w:t>合同金额</w:t>
      </w:r>
      <w:r>
        <w:rPr>
          <w:rFonts w:hint="default" w:ascii="Times New Roman" w:hAnsi="Times New Roman" w:cs="Times New Roman"/>
          <w:color w:val="auto"/>
          <w:szCs w:val="21"/>
        </w:rPr>
        <w:t>（含税）：</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元整</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每年</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lang w:val="en-US" w:eastAsia="zh-CN"/>
        </w:rPr>
        <w:t>万元</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lang w:eastAsia="zh-CN"/>
        </w:rPr>
        <w:t>甲方</w:t>
      </w:r>
      <w:r>
        <w:rPr>
          <w:rFonts w:hint="default" w:ascii="Times New Roman" w:hAnsi="Times New Roman" w:cs="Times New Roman"/>
          <w:color w:val="auto"/>
        </w:rPr>
        <w:t>按每</w:t>
      </w:r>
      <w:r>
        <w:rPr>
          <w:rFonts w:hint="default" w:ascii="Times New Roman" w:hAnsi="Times New Roman" w:cs="Times New Roman"/>
          <w:color w:val="auto"/>
          <w:lang w:eastAsia="zh-CN"/>
        </w:rPr>
        <w:t>月</w:t>
      </w:r>
      <w:r>
        <w:rPr>
          <w:rFonts w:hint="default" w:ascii="Times New Roman" w:hAnsi="Times New Roman" w:cs="Times New Roman"/>
          <w:color w:val="auto"/>
        </w:rPr>
        <w:t>将管理</w:t>
      </w:r>
      <w:r>
        <w:rPr>
          <w:rFonts w:hint="default" w:ascii="Times New Roman" w:hAnsi="Times New Roman" w:cs="Times New Roman"/>
          <w:color w:val="auto"/>
          <w:lang w:eastAsia="zh-CN"/>
        </w:rPr>
        <w:t>服务</w:t>
      </w:r>
      <w:r>
        <w:rPr>
          <w:rFonts w:hint="default" w:ascii="Times New Roman" w:hAnsi="Times New Roman" w:cs="Times New Roman"/>
          <w:color w:val="auto"/>
        </w:rPr>
        <w:t>费支付给</w:t>
      </w:r>
      <w:r>
        <w:rPr>
          <w:rFonts w:hint="default" w:ascii="Times New Roman" w:hAnsi="Times New Roman" w:cs="Times New Roman"/>
          <w:color w:val="auto"/>
          <w:lang w:eastAsia="zh-CN"/>
        </w:rPr>
        <w:t>乙方（</w:t>
      </w:r>
      <w:r>
        <w:rPr>
          <w:rFonts w:hint="default" w:ascii="Times New Roman" w:hAnsi="Times New Roman" w:cs="Times New Roman"/>
          <w:color w:val="auto"/>
          <w:lang w:val="en-US" w:eastAsia="zh-CN"/>
        </w:rPr>
        <w:t>乙方须提供等额的税务票据</w:t>
      </w:r>
      <w:r>
        <w:rPr>
          <w:rFonts w:hint="default" w:ascii="Times New Roman" w:hAnsi="Times New Roman" w:cs="Times New Roman"/>
          <w:color w:val="auto"/>
          <w:lang w:eastAsia="zh-CN"/>
        </w:rPr>
        <w:t>）</w:t>
      </w:r>
      <w:r>
        <w:rPr>
          <w:rFonts w:hint="default" w:ascii="Times New Roman" w:hAnsi="Times New Roman" w:cs="Times New Roman"/>
          <w:color w:val="auto"/>
        </w:rPr>
        <w:t>。每</w:t>
      </w:r>
      <w:r>
        <w:rPr>
          <w:rFonts w:hint="default" w:ascii="Times New Roman" w:hAnsi="Times New Roman" w:cs="Times New Roman"/>
          <w:color w:val="auto"/>
          <w:lang w:eastAsia="zh-CN"/>
        </w:rPr>
        <w:t>月</w:t>
      </w:r>
      <w:r>
        <w:rPr>
          <w:rFonts w:hint="default" w:ascii="Times New Roman" w:hAnsi="Times New Roman" w:cs="Times New Roman"/>
          <w:color w:val="auto"/>
        </w:rPr>
        <w:t>支付采购合同服务费</w:t>
      </w:r>
      <w:r>
        <w:rPr>
          <w:rFonts w:hint="default" w:ascii="Times New Roman" w:hAnsi="Times New Roman" w:cs="Times New Roman"/>
          <w:color w:val="auto"/>
          <w:lang w:eastAsia="zh-CN"/>
        </w:rPr>
        <w:t>为合同总价</w:t>
      </w:r>
      <w:r>
        <w:rPr>
          <w:rFonts w:hint="default" w:ascii="Times New Roman" w:hAnsi="Times New Roman" w:cs="Times New Roman"/>
          <w:color w:val="auto"/>
          <w:lang w:val="en-US" w:eastAsia="zh-CN"/>
        </w:rPr>
        <w:t>/24个月</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甲方按月对乙方服务标准进行考核，若未通过考核或达不到招标文件规定的服务标准的，甲方暂不支付该月管理服务费并要求乙方整改，待乙方整改通过考核后支付，若整改后仍未通过考核的，甲方将不予支付该月的管理服务费。</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四、违约责任</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1、若一个月内乙方连续3处以上，达不到甲方质量要求。因环境卫生使景区管理处受到2次以上批评的；</w:t>
      </w:r>
      <w:r>
        <w:rPr>
          <w:rFonts w:hint="default" w:ascii="Times New Roman" w:hAnsi="Times New Roman" w:cs="Times New Roman"/>
          <w:color w:val="auto"/>
          <w:szCs w:val="21"/>
          <w:lang w:eastAsia="zh-CN"/>
        </w:rPr>
        <w:t>市</w:t>
      </w:r>
      <w:r>
        <w:rPr>
          <w:rFonts w:hint="default" w:ascii="Times New Roman" w:hAnsi="Times New Roman" w:cs="Times New Roman"/>
          <w:color w:val="auto"/>
          <w:szCs w:val="21"/>
        </w:rPr>
        <w:t>相关部门批转环境整改意见或信访2件以上严重影响景区形象的；甲方有权单方终止合同，乙方无条件撤出委托项目，甲方不承担违约责任。</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2、乙方不得分包或者转包。如经查实乙方有分包或转包行为，甲方有权没收乙方履约保证金，并解除该服务合同，同时追究乙方的法律责任。</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乙方实际工作与招投标时乙方承诺的质量</w:t>
      </w:r>
      <w:r>
        <w:rPr>
          <w:rFonts w:hint="default" w:ascii="Times New Roman" w:hAnsi="Times New Roman" w:cs="Times New Roman"/>
          <w:color w:val="auto"/>
          <w:szCs w:val="21"/>
          <w:lang w:eastAsia="zh-CN"/>
        </w:rPr>
        <w:t>标准</w:t>
      </w:r>
      <w:r>
        <w:rPr>
          <w:rFonts w:hint="default" w:ascii="Times New Roman" w:hAnsi="Times New Roman" w:cs="Times New Roman"/>
          <w:color w:val="auto"/>
          <w:szCs w:val="21"/>
        </w:rPr>
        <w:t>严重不符，对照甲方“保洁工作检查验收标准”</w:t>
      </w:r>
      <w:r>
        <w:rPr>
          <w:rFonts w:hint="default" w:ascii="Times New Roman" w:hAnsi="Times New Roman" w:cs="Times New Roman"/>
          <w:color w:val="auto"/>
          <w:szCs w:val="21"/>
          <w:lang w:eastAsia="zh-CN"/>
        </w:rPr>
        <w:t>八</w:t>
      </w:r>
      <w:r>
        <w:rPr>
          <w:rFonts w:hint="default" w:ascii="Times New Roman" w:hAnsi="Times New Roman" w:cs="Times New Roman"/>
          <w:color w:val="auto"/>
          <w:szCs w:val="21"/>
        </w:rPr>
        <w:t>大类检查考核结果，若甲方对乙方检查考核结果等次为不合格的，甲方有权单方面终止合同执行。</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乙方招投标时承诺的机械设备及其他有关内容与乙方实际投入不符合</w:t>
      </w:r>
      <w:r>
        <w:rPr>
          <w:rFonts w:hint="default" w:ascii="Times New Roman" w:hAnsi="Times New Roman" w:cs="Times New Roman"/>
          <w:color w:val="auto"/>
          <w:szCs w:val="21"/>
          <w:lang w:eastAsia="zh-CN"/>
        </w:rPr>
        <w:t>的</w:t>
      </w:r>
      <w:r>
        <w:rPr>
          <w:rFonts w:hint="default" w:ascii="Times New Roman" w:hAnsi="Times New Roman" w:cs="Times New Roman"/>
          <w:color w:val="auto"/>
          <w:szCs w:val="21"/>
        </w:rPr>
        <w:t>，一经甲方发现，乙方必须予以及时整改（以甲方书面通知为准），乙方如配备人员不足，甲方按检查当月乙方实际出勤（实行实名制指纹考勤结合不定期抽查）所缺人数每人两倍的薪酬予以处罚（违约金）</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乙方投标时的其它承诺，在实施过程中，每违反一条，第一次按履约保证金的30%予以处罚（违约金），第二次按履约保证金的50%予以处罚（违约金），第三次甲方有权无条件解除本合同。若乙方对甲方的整改要求消极应对、敷衍了事或乙方虽努力但仍然整改不了的，甲方有权无条件解除本合同。</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、甲、乙双方约定，以下条件可构成对乙方的免责事由：</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①因不可抗力导致的</w:t>
      </w:r>
      <w:r>
        <w:rPr>
          <w:rFonts w:hint="default" w:ascii="Times New Roman" w:hAnsi="Times New Roman" w:cs="Times New Roman"/>
          <w:color w:val="auto"/>
          <w:szCs w:val="21"/>
          <w:lang w:eastAsia="zh-CN"/>
        </w:rPr>
        <w:t>管理</w:t>
      </w:r>
      <w:r>
        <w:rPr>
          <w:rFonts w:hint="default" w:ascii="Times New Roman" w:hAnsi="Times New Roman" w:cs="Times New Roman"/>
          <w:color w:val="auto"/>
          <w:szCs w:val="21"/>
        </w:rPr>
        <w:t>服务中断；</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②因维修、养护设施、设备而影响乙方正常作业的；</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③因停水、停电而影响乙方正常作业或导致</w:t>
      </w:r>
      <w:r>
        <w:rPr>
          <w:rFonts w:hint="default" w:ascii="Times New Roman" w:hAnsi="Times New Roman" w:cs="Times New Roman"/>
          <w:color w:val="auto"/>
          <w:szCs w:val="21"/>
          <w:lang w:eastAsia="zh-CN"/>
        </w:rPr>
        <w:t>管理</w:t>
      </w:r>
      <w:r>
        <w:rPr>
          <w:rFonts w:hint="default" w:ascii="Times New Roman" w:hAnsi="Times New Roman" w:cs="Times New Roman"/>
          <w:color w:val="auto"/>
          <w:szCs w:val="21"/>
        </w:rPr>
        <w:t>服务质量下降的；</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、甲乙双方在对方无过错的情况下任何一方提前终止合同按违约处理。</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rPr>
        <w:t>、乙方在无能力履行合同的情况下，甲方有权解除合同并没收履约保证金。</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、根据甲方的抽查，发现实际在岗人数及工作人员年龄与协议约定不符，每缺岗1人次扣500元、工作人员年龄不达标每人次扣</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00元；连续二次出现同类情况的，并对乙方进行劝退；连续三次出现同类情况的，甲方有权终止合同且不承担任何合同责任。</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9</w:t>
      </w:r>
      <w:r>
        <w:rPr>
          <w:rFonts w:hint="default" w:ascii="Times New Roman" w:hAnsi="Times New Roman" w:cs="Times New Roman"/>
          <w:color w:val="auto"/>
          <w:szCs w:val="21"/>
        </w:rPr>
        <w:t>、乙方必须对服务人员严格管理，如</w:t>
      </w:r>
      <w:r>
        <w:rPr>
          <w:rFonts w:hint="eastAsia" w:cs="Times New Roman"/>
          <w:color w:val="auto"/>
          <w:szCs w:val="21"/>
          <w:lang w:eastAsia="zh-CN"/>
        </w:rPr>
        <w:t>有发生</w:t>
      </w:r>
      <w:r>
        <w:rPr>
          <w:rFonts w:hint="default" w:ascii="Times New Roman" w:hAnsi="Times New Roman" w:cs="Times New Roman"/>
          <w:color w:val="auto"/>
          <w:szCs w:val="21"/>
        </w:rPr>
        <w:t>现服务人员</w:t>
      </w:r>
      <w:r>
        <w:rPr>
          <w:rFonts w:hint="eastAsia" w:cs="Times New Roman"/>
          <w:color w:val="auto"/>
          <w:szCs w:val="21"/>
          <w:lang w:eastAsia="zh-CN"/>
        </w:rPr>
        <w:t>参与</w:t>
      </w:r>
      <w:r>
        <w:rPr>
          <w:rFonts w:hint="default" w:ascii="Times New Roman" w:hAnsi="Times New Roman" w:cs="Times New Roman"/>
          <w:color w:val="auto"/>
          <w:szCs w:val="21"/>
        </w:rPr>
        <w:t>赌博、滋事扰乱治安、偷盗</w:t>
      </w:r>
      <w:r>
        <w:rPr>
          <w:rFonts w:hint="default" w:ascii="Times New Roman" w:hAnsi="Times New Roman" w:cs="Times New Roman"/>
          <w:color w:val="auto"/>
          <w:szCs w:val="21"/>
          <w:lang w:eastAsia="zh-CN"/>
        </w:rPr>
        <w:t>财</w:t>
      </w:r>
      <w:r>
        <w:rPr>
          <w:rFonts w:hint="default" w:ascii="Times New Roman" w:hAnsi="Times New Roman" w:cs="Times New Roman"/>
          <w:color w:val="auto"/>
          <w:szCs w:val="21"/>
        </w:rPr>
        <w:t>物</w:t>
      </w:r>
      <w:r>
        <w:rPr>
          <w:rFonts w:hint="default" w:ascii="Times New Roman" w:hAnsi="Times New Roman" w:cs="Times New Roman"/>
          <w:strike/>
          <w:dstrike w:val="0"/>
          <w:color w:val="auto"/>
          <w:szCs w:val="21"/>
        </w:rPr>
        <w:t>被</w:t>
      </w:r>
      <w:r>
        <w:rPr>
          <w:rFonts w:hint="default" w:ascii="Times New Roman" w:hAnsi="Times New Roman" w:cs="Times New Roman"/>
          <w:strike/>
          <w:dstrike w:val="0"/>
          <w:color w:val="auto"/>
          <w:szCs w:val="21"/>
          <w:lang w:eastAsia="zh-CN"/>
        </w:rPr>
        <w:t>发现</w:t>
      </w:r>
      <w:r>
        <w:rPr>
          <w:rFonts w:hint="default" w:ascii="Times New Roman" w:hAnsi="Times New Roman" w:cs="Times New Roman"/>
          <w:color w:val="auto"/>
          <w:szCs w:val="21"/>
          <w:lang w:eastAsia="zh-CN"/>
        </w:rPr>
        <w:t>，</w:t>
      </w:r>
      <w:r>
        <w:rPr>
          <w:rFonts w:hint="eastAsia" w:cs="Times New Roman"/>
          <w:color w:val="auto"/>
          <w:szCs w:val="21"/>
          <w:lang w:eastAsia="zh-CN"/>
        </w:rPr>
        <w:t>或被</w:t>
      </w:r>
      <w:r>
        <w:rPr>
          <w:rFonts w:hint="default" w:ascii="Times New Roman" w:hAnsi="Times New Roman" w:cs="Times New Roman"/>
          <w:color w:val="auto"/>
          <w:szCs w:val="21"/>
        </w:rPr>
        <w:t>游客投诉，对景区形象造成损害</w:t>
      </w:r>
      <w:r>
        <w:rPr>
          <w:rFonts w:hint="eastAsia" w:cs="Times New Roman"/>
          <w:color w:val="auto"/>
          <w:szCs w:val="21"/>
          <w:lang w:eastAsia="zh-CN"/>
        </w:rPr>
        <w:t>的；</w:t>
      </w:r>
      <w:r>
        <w:rPr>
          <w:rFonts w:hint="default" w:ascii="Times New Roman" w:hAnsi="Times New Roman" w:cs="Times New Roman"/>
          <w:color w:val="auto"/>
          <w:szCs w:val="21"/>
        </w:rPr>
        <w:t>如在工作中发现或捡到游客遗失物品</w:t>
      </w:r>
      <w:r>
        <w:rPr>
          <w:rFonts w:hint="eastAsia" w:cs="Times New Roman"/>
          <w:color w:val="auto"/>
          <w:szCs w:val="21"/>
          <w:lang w:eastAsia="zh-CN"/>
        </w:rPr>
        <w:t>未</w:t>
      </w:r>
      <w:r>
        <w:rPr>
          <w:rFonts w:hint="default" w:ascii="Times New Roman" w:hAnsi="Times New Roman" w:cs="Times New Roman"/>
          <w:color w:val="auto"/>
          <w:szCs w:val="21"/>
        </w:rPr>
        <w:t>及时上交甲方管理人员</w:t>
      </w:r>
      <w:r>
        <w:rPr>
          <w:rFonts w:hint="eastAsia" w:cs="Times New Roman"/>
          <w:color w:val="auto"/>
          <w:szCs w:val="21"/>
          <w:lang w:eastAsia="zh-CN"/>
        </w:rPr>
        <w:t>而</w:t>
      </w:r>
      <w:r>
        <w:rPr>
          <w:rFonts w:hint="default" w:ascii="Times New Roman" w:hAnsi="Times New Roman" w:cs="Times New Roman"/>
          <w:color w:val="auto"/>
          <w:szCs w:val="21"/>
        </w:rPr>
        <w:t>过后</w:t>
      </w:r>
      <w:r>
        <w:rPr>
          <w:rFonts w:hint="eastAsia" w:cs="Times New Roman"/>
          <w:color w:val="auto"/>
          <w:szCs w:val="21"/>
          <w:lang w:eastAsia="zh-CN"/>
        </w:rPr>
        <w:t>被</w:t>
      </w:r>
      <w:r>
        <w:rPr>
          <w:rFonts w:hint="default" w:ascii="Times New Roman" w:hAnsi="Times New Roman" w:cs="Times New Roman"/>
          <w:color w:val="auto"/>
          <w:szCs w:val="21"/>
        </w:rPr>
        <w:t>查到乙方员工拾而不交</w:t>
      </w:r>
      <w:r>
        <w:rPr>
          <w:rFonts w:hint="eastAsia" w:cs="Times New Roman"/>
          <w:color w:val="auto"/>
          <w:szCs w:val="21"/>
          <w:lang w:eastAsia="zh-CN"/>
        </w:rPr>
        <w:t>的等等</w:t>
      </w:r>
      <w:r>
        <w:rPr>
          <w:rFonts w:hint="default" w:ascii="Times New Roman" w:hAnsi="Times New Roman" w:cs="Times New Roman"/>
          <w:color w:val="auto"/>
          <w:szCs w:val="21"/>
        </w:rPr>
        <w:t>情况，发现一次则扣罚当月服务费的1%—10%，并甲方有权移交司法部门处置。</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五</w:t>
      </w:r>
      <w:r>
        <w:rPr>
          <w:rFonts w:hint="default" w:ascii="Times New Roman" w:hAnsi="Times New Roman" w:cs="Times New Roman"/>
          <w:color w:val="auto"/>
          <w:szCs w:val="21"/>
        </w:rPr>
        <w:t>、管理服务质量：详招标文件中的招标需求。</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六</w:t>
      </w:r>
      <w:r>
        <w:rPr>
          <w:rFonts w:hint="default" w:ascii="Times New Roman" w:hAnsi="Times New Roman" w:cs="Times New Roman"/>
          <w:color w:val="auto"/>
          <w:szCs w:val="21"/>
        </w:rPr>
        <w:t xml:space="preserve">、甲方的权利义务   </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1、检查监督乙方管理工作的实施及制度的执行情况并每季度进行考核评定。</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2、甲方根据保洁任务需要，有权要求乙方调动保洁人员岗位。同时，甲方根据乙方保洁范围内实际工作情况，有权要求乙方强化某一区域的再次保洁清洁工作。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宋体" w:cs="Times New Roman"/>
          <w:bCs/>
          <w:color w:val="auto"/>
          <w:sz w:val="21"/>
          <w:szCs w:val="21"/>
        </w:rPr>
      </w:pPr>
      <w:r>
        <w:rPr>
          <w:rFonts w:hint="eastAsia" w:ascii="Times New Roman" w:hAnsi="Times New Roman" w:cs="Times New Roman"/>
          <w:color w:val="auto"/>
          <w:szCs w:val="21"/>
          <w:lang w:val="en-US" w:eastAsia="zh-CN"/>
        </w:rPr>
        <w:t>3、</w:t>
      </w:r>
      <w:r>
        <w:rPr>
          <w:rFonts w:hint="eastAsia" w:cs="Times New Roman"/>
          <w:bCs/>
          <w:color w:val="auto"/>
          <w:sz w:val="21"/>
          <w:szCs w:val="21"/>
          <w:lang w:val="en-US" w:eastAsia="zh-CN"/>
        </w:rPr>
        <w:t>若甲方遇到特殊情况，需要临时增加人员的，乙方必须予以配合。</w:t>
      </w:r>
      <w:r>
        <w:rPr>
          <w:rFonts w:hint="default" w:ascii="Times New Roman" w:hAnsi="Times New Roman" w:eastAsia="宋体" w:cs="Times New Roman"/>
          <w:bCs/>
          <w:color w:val="auto"/>
          <w:sz w:val="21"/>
          <w:szCs w:val="21"/>
        </w:rPr>
        <w:t>临时新增人员提前3日上报甲方审定，新增人员费用由</w:t>
      </w:r>
      <w:r>
        <w:rPr>
          <w:rFonts w:hint="eastAsia" w:cs="Times New Roman"/>
          <w:bCs/>
          <w:color w:val="auto"/>
          <w:sz w:val="21"/>
          <w:szCs w:val="21"/>
          <w:lang w:val="en-US" w:eastAsia="zh-CN"/>
        </w:rPr>
        <w:t>甲</w:t>
      </w:r>
      <w:r>
        <w:rPr>
          <w:rFonts w:hint="default" w:ascii="Times New Roman" w:hAnsi="Times New Roman" w:eastAsia="宋体" w:cs="Times New Roman"/>
          <w:bCs/>
          <w:color w:val="auto"/>
          <w:sz w:val="21"/>
          <w:szCs w:val="21"/>
        </w:rPr>
        <w:t>方负责</w:t>
      </w:r>
      <w:r>
        <w:rPr>
          <w:rFonts w:hint="eastAsia" w:cs="Times New Roman"/>
          <w:bCs/>
          <w:color w:val="auto"/>
          <w:sz w:val="21"/>
          <w:szCs w:val="21"/>
          <w:lang w:eastAsia="zh-CN"/>
        </w:rPr>
        <w:t>，具体费用结算按照乙方中标价计算日薪或时薪</w:t>
      </w:r>
      <w:r>
        <w:rPr>
          <w:rFonts w:hint="default" w:ascii="Times New Roman" w:hAnsi="Times New Roman" w:eastAsia="宋体" w:cs="Times New Roman"/>
          <w:bCs/>
          <w:color w:val="auto"/>
          <w:sz w:val="21"/>
          <w:szCs w:val="21"/>
        </w:rPr>
        <w:t>。</w:t>
      </w:r>
    </w:p>
    <w:p>
      <w:pPr>
        <w:pStyle w:val="2"/>
        <w:ind w:left="0" w:leftChars="0" w:firstLine="0" w:firstLineChars="0"/>
        <w:rPr>
          <w:rFonts w:hint="default" w:eastAsia="宋体"/>
          <w:color w:val="auto"/>
          <w:lang w:val="en-US" w:eastAsia="zh-CN"/>
        </w:rPr>
      </w:pP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八、乙方的权利义务</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1、制订该保洁物业的各项管理办法、规章制度、实施细则，自主开展各项保洁管理活动。</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2、接受甲方以及保洁物业管理主管部门的监督、指导。</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九、其他事项</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1、乙方管理过程中，应注意安全防范措施，若在工作中发生的一切事故（如人身伤亡、财产损失等）由乙方自行负责，甲方不负任何责任。</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重大节假日如发生厕所断电或断水情况，乙方须设法保障各个厕所卫生清洁。</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、合同执行期间，如遇不可抗力，致使协议无法履行时，双方均不承担违约责任并按有关法规及时协商处理。</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、为确保各项保洁管理工作有效实施，乙方工作人员年龄不得超过65周岁。</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、乙方保洁范围详见附图。</w:t>
      </w:r>
    </w:p>
    <w:p>
      <w:pPr>
        <w:keepNext w:val="0"/>
        <w:keepLines w:val="0"/>
        <w:pageBreakBefore w:val="0"/>
        <w:widowControl w:val="0"/>
        <w:kinsoku/>
        <w:wordWrap/>
        <w:overflowPunct/>
        <w:topLinePunct w:val="0"/>
        <w:autoSpaceDE/>
        <w:autoSpaceDN w:val="0"/>
        <w:bidi w:val="0"/>
        <w:adjustRightInd/>
        <w:snapToGrid/>
        <w:spacing w:line="4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、招标文件、投标文件为合同的组成部分。</w:t>
      </w:r>
    </w:p>
    <w:p>
      <w:pPr>
        <w:keepNext w:val="0"/>
        <w:keepLines w:val="0"/>
        <w:pageBreakBefore w:val="0"/>
        <w:widowControl w:val="0"/>
        <w:kinsoku/>
        <w:wordWrap/>
        <w:overflowPunct/>
        <w:topLinePunct w:val="0"/>
        <w:autoSpaceDE/>
        <w:autoSpaceDN w:val="0"/>
        <w:bidi w:val="0"/>
        <w:adjustRightInd/>
        <w:snapToGrid/>
        <w:spacing w:line="4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十、未尽事宜，双方协商解决，</w:t>
      </w:r>
      <w:r>
        <w:rPr>
          <w:rFonts w:hint="default" w:ascii="Times New Roman" w:hAnsi="Times New Roman" w:cs="Times New Roman"/>
          <w:color w:val="auto"/>
          <w:szCs w:val="21"/>
          <w:lang w:val="en-US" w:eastAsia="zh-CN"/>
        </w:rPr>
        <w:t>若协商不成的，向玉环市人民法院提请诉讼。</w:t>
      </w:r>
      <w:r>
        <w:rPr>
          <w:rFonts w:hint="default" w:ascii="Times New Roman" w:hAnsi="Times New Roman" w:cs="Times New Roman"/>
          <w:color w:val="auto"/>
          <w:szCs w:val="21"/>
        </w:rPr>
        <w:t>本协议一式四份，甲乙双方各执二份。双方签字后生效。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签约日期：        年     月    日</w:t>
      </w:r>
    </w:p>
    <w:p>
      <w:pPr>
        <w:pStyle w:val="2"/>
        <w:rPr>
          <w:rFonts w:hint="default" w:ascii="Times New Roman" w:hAnsi="Times New Roman" w:eastAsia="宋体" w:cs="Times New Roman"/>
          <w:color w:val="auto"/>
          <w:sz w:val="21"/>
          <w:szCs w:val="21"/>
          <w:u w:val="none"/>
          <w:lang w:val="en-US" w:eastAsia="zh-CN"/>
        </w:rPr>
      </w:pPr>
    </w:p>
    <w:p>
      <w:pPr>
        <w:pStyle w:val="4"/>
        <w:rPr>
          <w:rFonts w:hint="default" w:ascii="Times New Roman" w:hAnsi="Times New Roman" w:eastAsia="宋体" w:cs="Times New Roman"/>
          <w:color w:val="auto"/>
          <w:sz w:val="21"/>
          <w:szCs w:val="21"/>
          <w:u w:val="none"/>
          <w:lang w:val="en-US" w:eastAsia="zh-CN"/>
        </w:rPr>
      </w:pPr>
    </w:p>
    <w:p>
      <w:pPr>
        <w:rPr>
          <w:rFonts w:hint="default" w:ascii="Times New Roman" w:hAnsi="Times New Roman" w:eastAsia="宋体" w:cs="Times New Roman"/>
          <w:color w:val="auto"/>
          <w:sz w:val="21"/>
          <w:szCs w:val="21"/>
          <w:u w:val="none"/>
          <w:lang w:val="en-US" w:eastAsia="zh-CN"/>
        </w:rPr>
      </w:pPr>
    </w:p>
    <w:p>
      <w:pPr>
        <w:pStyle w:val="2"/>
        <w:rPr>
          <w:rFonts w:hint="default" w:ascii="Times New Roman" w:hAnsi="Times New Roman" w:eastAsia="宋体" w:cs="Times New Roman"/>
          <w:color w:val="auto"/>
          <w:sz w:val="21"/>
          <w:szCs w:val="21"/>
          <w:u w:val="none"/>
          <w:lang w:val="en-US" w:eastAsia="zh-CN"/>
        </w:rPr>
      </w:pPr>
    </w:p>
    <w:p>
      <w:pPr>
        <w:pStyle w:val="4"/>
        <w:rPr>
          <w:rFonts w:hint="default"/>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0"/>
          <w:szCs w:val="20"/>
          <w:lang w:eastAsia="zh-CN"/>
        </w:rPr>
      </w:pPr>
      <w:r>
        <w:rPr>
          <w:rFonts w:hint="default" w:ascii="Times New Roman" w:hAnsi="Times New Roman" w:cs="Times New Roman"/>
          <w:b/>
          <w:bCs/>
          <w:color w:val="auto"/>
          <w:kern w:val="0"/>
          <w:sz w:val="20"/>
          <w:szCs w:val="20"/>
          <w:lang w:eastAsia="zh-CN"/>
        </w:rPr>
        <w:t>玉环漩门湾湿地公园主入口停车场至3号地至5号地至东入口延伸</w:t>
      </w:r>
      <w:r>
        <w:rPr>
          <w:rFonts w:hint="default" w:ascii="Times New Roman" w:hAnsi="Times New Roman" w:cs="Times New Roman"/>
          <w:b/>
          <w:bCs/>
          <w:color w:val="auto"/>
          <w:kern w:val="0"/>
          <w:sz w:val="20"/>
          <w:szCs w:val="20"/>
          <w:lang w:val="en-US" w:eastAsia="zh-CN"/>
        </w:rPr>
        <w:t>一</w:t>
      </w:r>
      <w:r>
        <w:rPr>
          <w:rFonts w:hint="default" w:ascii="Times New Roman" w:hAnsi="Times New Roman" w:cs="Times New Roman"/>
          <w:b/>
          <w:bCs/>
          <w:color w:val="auto"/>
          <w:kern w:val="0"/>
          <w:sz w:val="20"/>
          <w:szCs w:val="20"/>
          <w:lang w:eastAsia="zh-CN"/>
        </w:rPr>
        <w:t>公里保洁及垃圾清运项目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DDZX2021-Y-GK-12</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（1）投标声明书</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2"/>
      </w:r>
    </w:p>
    <w:p>
      <w:pPr>
        <w:keepNext w:val="0"/>
        <w:keepLines w:val="0"/>
        <w:pageBreakBefore w:val="0"/>
        <w:kinsoku/>
        <w:wordWrap/>
        <w:overflowPunct/>
        <w:topLinePunct w:val="0"/>
        <w:autoSpaceDE/>
        <w:autoSpaceDN/>
        <w:bidi w:val="0"/>
        <w:adjustRightInd/>
        <w:snapToGrid w:val="0"/>
        <w:spacing w:line="52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snapToGrid w:val="0"/>
        <w:spacing w:line="460" w:lineRule="exact"/>
        <w:ind w:left="0" w:leftChars="0" w:firstLine="420" w:firstLineChars="175"/>
        <w:rPr>
          <w:rFonts w:hint="default" w:ascii="Times New Roman" w:hAnsi="Times New Roman" w:cs="Times New Roman"/>
          <w:color w:val="auto"/>
          <w:sz w:val="24"/>
        </w:rPr>
      </w:pPr>
    </w:p>
    <w:p>
      <w:pPr>
        <w:pStyle w:val="28"/>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pStyle w:val="28"/>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6"/>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投标人名称(公章)：</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法定代表人或授权委托人(签字)：</w:t>
      </w: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日期：</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2"/>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2"/>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2"/>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0"/>
          <w:szCs w:val="20"/>
          <w:lang w:eastAsia="zh-CN"/>
        </w:rPr>
      </w:pPr>
      <w:r>
        <w:rPr>
          <w:rFonts w:hint="default" w:ascii="Times New Roman" w:hAnsi="Times New Roman" w:cs="Times New Roman"/>
          <w:b/>
          <w:bCs/>
          <w:color w:val="auto"/>
          <w:kern w:val="0"/>
          <w:sz w:val="20"/>
          <w:szCs w:val="20"/>
          <w:lang w:eastAsia="zh-CN"/>
        </w:rPr>
        <w:t>玉环漩门湾湿地公园主入口停车场至3号地至5号地至东入口延伸</w:t>
      </w:r>
      <w:r>
        <w:rPr>
          <w:rFonts w:hint="default" w:ascii="Times New Roman" w:hAnsi="Times New Roman" w:cs="Times New Roman"/>
          <w:b/>
          <w:bCs/>
          <w:color w:val="auto"/>
          <w:kern w:val="0"/>
          <w:sz w:val="20"/>
          <w:szCs w:val="20"/>
          <w:lang w:val="en-US" w:eastAsia="zh-CN"/>
        </w:rPr>
        <w:t>一</w:t>
      </w:r>
      <w:r>
        <w:rPr>
          <w:rFonts w:hint="default" w:ascii="Times New Roman" w:hAnsi="Times New Roman" w:cs="Times New Roman"/>
          <w:b/>
          <w:bCs/>
          <w:color w:val="auto"/>
          <w:kern w:val="0"/>
          <w:sz w:val="20"/>
          <w:szCs w:val="20"/>
          <w:lang w:eastAsia="zh-CN"/>
        </w:rPr>
        <w:t>公里保洁及垃圾清运项目</w:t>
      </w:r>
    </w:p>
    <w:p>
      <w:pPr>
        <w:autoSpaceDE w:val="0"/>
        <w:autoSpaceDN w:val="0"/>
        <w:adjustRightInd w:val="0"/>
        <w:spacing w:line="360" w:lineRule="auto"/>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DDZX2021-Y-GK-12</w:t>
      </w:r>
    </w:p>
    <w:p>
      <w:pPr>
        <w:pStyle w:val="6"/>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（1）投标人情况介绍（人员与技术力量、企业规模、经营业绩等）</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）对本项目</w:t>
      </w:r>
      <w:r>
        <w:rPr>
          <w:rFonts w:hint="default" w:ascii="Times New Roman" w:hAnsi="Times New Roman" w:cs="Times New Roman"/>
          <w:szCs w:val="21"/>
          <w:lang w:val="en-US" w:eastAsia="zh-CN"/>
        </w:rPr>
        <w:t>需求的理解</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lang w:eastAsia="zh-CN"/>
        </w:rPr>
        <w:t>）</w:t>
      </w:r>
      <w:r>
        <w:rPr>
          <w:rFonts w:hint="default" w:ascii="Times New Roman" w:hAnsi="Times New Roman" w:cs="Times New Roman"/>
          <w:szCs w:val="21"/>
        </w:rPr>
        <w:t>项目实施方案</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拟投入本项目的</w:t>
      </w:r>
      <w:r>
        <w:rPr>
          <w:rFonts w:hint="default" w:ascii="Times New Roman" w:hAnsi="Times New Roman" w:cs="Times New Roman"/>
          <w:szCs w:val="21"/>
        </w:rPr>
        <w:t>人员配置</w:t>
      </w:r>
    </w:p>
    <w:p>
      <w:pPr>
        <w:keepNext w:val="0"/>
        <w:keepLines w:val="0"/>
        <w:pageBreakBefore w:val="0"/>
        <w:widowControl/>
        <w:tabs>
          <w:tab w:val="left" w:pos="7879"/>
        </w:tabs>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lang w:eastAsia="zh-CN"/>
        </w:rPr>
        <w:t>）</w:t>
      </w:r>
      <w:r>
        <w:rPr>
          <w:rFonts w:hint="default" w:ascii="Times New Roman" w:hAnsi="Times New Roman" w:cs="Times New Roman"/>
          <w:szCs w:val="21"/>
        </w:rPr>
        <w:t>项目负责人资格情况表</w:t>
      </w:r>
      <w:r>
        <w:rPr>
          <w:rFonts w:hint="default" w:ascii="Times New Roman" w:hAnsi="Times New Roman" w:cs="Times New Roman"/>
          <w:szCs w:val="21"/>
          <w:lang w:eastAsia="zh-CN"/>
        </w:rPr>
        <w:tab/>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应急处理措施</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投标人类似成功案例一览表</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8</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拟投入本项目的机械配置情况</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9</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针对本项目的优惠措施和服务承诺</w:t>
      </w:r>
      <w:r>
        <w:rPr>
          <w:rFonts w:hint="default" w:ascii="Times New Roman" w:hAnsi="Times New Roman" w:cs="Times New Roman"/>
          <w:szCs w:val="21"/>
        </w:rPr>
        <w:t xml:space="preserve"> </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10</w:t>
      </w:r>
      <w:r>
        <w:rPr>
          <w:rFonts w:hint="default" w:ascii="Times New Roman" w:hAnsi="Times New Roman" w:cs="Times New Roman"/>
          <w:szCs w:val="21"/>
          <w:lang w:eastAsia="zh-CN"/>
        </w:rPr>
        <w:t>）评标办法中的评分内容章节描述及需要提供的其他材料</w:t>
      </w:r>
    </w:p>
    <w:p>
      <w:pPr>
        <w:keepNext w:val="0"/>
        <w:keepLines w:val="0"/>
        <w:pageBreakBefore w:val="0"/>
        <w:widowControl/>
        <w:kinsoku/>
        <w:wordWrap/>
        <w:overflowPunct/>
        <w:topLinePunct w:val="0"/>
        <w:autoSpaceDE/>
        <w:autoSpaceDN/>
        <w:bidi w:val="0"/>
        <w:adjustRightInd/>
        <w:spacing w:line="520" w:lineRule="exact"/>
        <w:ind w:left="414" w:leftChars="197"/>
        <w:jc w:val="left"/>
        <w:textAlignment w:val="auto"/>
        <w:outlineLvl w:val="0"/>
        <w:rPr>
          <w:rFonts w:hint="default" w:ascii="Times New Roman" w:hAnsi="Times New Roman" w:cs="Times New Roman"/>
          <w:szCs w:val="21"/>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3"/>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pStyle w:val="33"/>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2"/>
          <w:szCs w:val="32"/>
        </w:rPr>
      </w:pPr>
      <w:r>
        <w:rPr>
          <w:rFonts w:hint="default" w:ascii="Times New Roman" w:hAnsi="Times New Roman" w:cs="Times New Roman"/>
          <w:b/>
          <w:color w:val="auto"/>
          <w:sz w:val="32"/>
          <w:szCs w:val="32"/>
        </w:rPr>
        <w:t xml:space="preserve">  投标</w:t>
      </w:r>
      <w:r>
        <w:rPr>
          <w:rFonts w:hint="default" w:ascii="Times New Roman" w:hAnsi="Times New Roman" w:cs="Times New Roman"/>
          <w:b/>
          <w:bCs/>
          <w:color w:val="auto"/>
          <w:spacing w:val="21"/>
          <w:sz w:val="32"/>
          <w:szCs w:val="32"/>
        </w:rPr>
        <w:t>人基本情况表</w:t>
      </w:r>
    </w:p>
    <w:p>
      <w:pPr>
        <w:pStyle w:val="33"/>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82" w:type="dxa"/>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3979" w:type="dxa"/>
            <w:gridSpan w:val="6"/>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001"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2151" w:type="dxa"/>
            <w:gridSpan w:val="2"/>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3979" w:type="dxa"/>
            <w:gridSpan w:val="6"/>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2151" w:type="dxa"/>
            <w:gridSpan w:val="2"/>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701" w:type="dxa"/>
            <w:tcBorders>
              <w:bottom w:val="single" w:color="auto" w:sz="4" w:space="0"/>
            </w:tcBorders>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368" w:type="dxa"/>
            <w:gridSpan w:val="3"/>
            <w:tcBorders>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2151" w:type="dxa"/>
            <w:gridSpan w:val="2"/>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701" w:type="dxa"/>
            <w:vMerge w:val="restart"/>
            <w:tcBorders>
              <w:top w:val="nil"/>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top w:val="nil"/>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368" w:type="dxa"/>
            <w:gridSpan w:val="3"/>
            <w:tcBorders>
              <w:top w:val="nil"/>
              <w:bottom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restart"/>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2151" w:type="dxa"/>
            <w:gridSpan w:val="2"/>
            <w:vMerge w:val="restart"/>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vMerge w:val="continue"/>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910" w:type="dxa"/>
            <w:gridSpan w:val="2"/>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368" w:type="dxa"/>
            <w:gridSpan w:val="3"/>
            <w:tcBorders>
              <w:bottom w:val="single" w:color="auto" w:sz="4" w:space="0"/>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vMerge w:val="continue"/>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151" w:type="dxa"/>
            <w:gridSpan w:val="2"/>
            <w:vMerge w:val="continue"/>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701" w:type="dxa"/>
            <w:tcBorders>
              <w:top w:val="nil"/>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910" w:type="dxa"/>
            <w:gridSpan w:val="2"/>
            <w:tcBorders>
              <w:top w:val="nil"/>
            </w:tcBorders>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1163" w:type="dxa"/>
            <w:tcBorders>
              <w:top w:val="nil"/>
            </w:tcBorders>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05" w:type="dxa"/>
            <w:gridSpan w:val="2"/>
            <w:tcBorders>
              <w:top w:val="nil"/>
            </w:tcBorders>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c>
          <w:tcPr>
            <w:tcW w:w="2001"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2151" w:type="dxa"/>
            <w:gridSpan w:val="2"/>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pacing w:val="16"/>
                <w:kern w:val="0"/>
                <w:sz w:val="21"/>
                <w:szCs w:val="21"/>
              </w:rPr>
            </w:pPr>
          </w:p>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910" w:type="dxa"/>
            <w:gridSpan w:val="2"/>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163" w:type="dxa"/>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205" w:type="dxa"/>
            <w:gridSpan w:val="2"/>
          </w:tcPr>
          <w:p>
            <w:pPr>
              <w:pStyle w:val="33"/>
              <w:keepNext w:val="0"/>
              <w:keepLines w:val="0"/>
              <w:suppressLineNumbers w:val="0"/>
              <w:shd w:val="clear" w:color="auto" w:fill="FFFFFF"/>
              <w:spacing w:line="360" w:lineRule="auto"/>
              <w:ind w:left="0" w:right="0"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平方米 </w:t>
            </w:r>
          </w:p>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□自有□租賃</w:t>
            </w:r>
          </w:p>
        </w:tc>
        <w:tc>
          <w:tcPr>
            <w:tcW w:w="2001"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2151" w:type="dxa"/>
            <w:gridSpan w:val="2"/>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3"/>
              <w:keepNext w:val="0"/>
              <w:keepLines w:val="0"/>
              <w:suppressLineNumbers w:val="0"/>
              <w:shd w:val="clear" w:color="auto" w:fill="FFFFFF"/>
              <w:spacing w:line="360" w:lineRule="auto"/>
              <w:ind w:left="2"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910" w:type="dxa"/>
            <w:gridSpan w:val="2"/>
          </w:tcPr>
          <w:p>
            <w:pPr>
              <w:pStyle w:val="33"/>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p>
        </w:tc>
        <w:tc>
          <w:tcPr>
            <w:tcW w:w="1163" w:type="dxa"/>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3206" w:type="dxa"/>
            <w:gridSpan w:val="5"/>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kern w:val="0"/>
                <w:sz w:val="21"/>
                <w:szCs w:val="21"/>
              </w:rPr>
            </w:pP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218" w:type="dxa"/>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701" w:type="dxa"/>
          </w:tcPr>
          <w:p>
            <w:pPr>
              <w:pStyle w:val="33"/>
              <w:keepNext w:val="0"/>
              <w:keepLines w:val="0"/>
              <w:suppressLineNumbers w:val="0"/>
              <w:shd w:val="clear" w:color="auto" w:fill="FFFFFF"/>
              <w:spacing w:line="360" w:lineRule="auto"/>
              <w:ind w:left="2"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430" w:type="dxa"/>
            <w:gridSpan w:val="10"/>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8131" w:type="dxa"/>
            <w:gridSpan w:val="11"/>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企</w:t>
            </w:r>
            <w:r>
              <w:rPr>
                <w:rFonts w:hint="default" w:ascii="Times New Roman" w:hAnsi="Times New Roman" w:cs="Times New Roman"/>
                <w:bCs/>
                <w:color w:val="auto"/>
                <w:spacing w:val="12"/>
                <w:sz w:val="21"/>
                <w:szCs w:val="21"/>
              </w:rPr>
              <w:t>业有关资质获证情况</w:t>
            </w:r>
          </w:p>
        </w:tc>
        <w:tc>
          <w:tcPr>
            <w:tcW w:w="1553" w:type="dxa"/>
            <w:gridSpan w:val="2"/>
            <w:vMerge w:val="restart"/>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33" w:type="dxa"/>
            <w:gridSpan w:val="3"/>
          </w:tcPr>
          <w:p>
            <w:pPr>
              <w:pStyle w:val="33"/>
              <w:keepNext w:val="0"/>
              <w:keepLines w:val="0"/>
              <w:suppressLineNumbers w:val="0"/>
              <w:shd w:val="clear" w:color="auto" w:fill="FFFFFF"/>
              <w:spacing w:line="360" w:lineRule="auto"/>
              <w:ind w:left="0" w:right="-78" w:rightChars="-37"/>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418" w:type="dxa"/>
            <w:gridSpan w:val="2"/>
          </w:tcPr>
          <w:p>
            <w:pPr>
              <w:pStyle w:val="33"/>
              <w:keepNext w:val="0"/>
              <w:keepLines w:val="0"/>
              <w:suppressLineNumbers w:val="0"/>
              <w:shd w:val="clear" w:color="auto" w:fill="FFFFFF"/>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tcPr>
          <w:p>
            <w:pPr>
              <w:pStyle w:val="33"/>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618" w:type="dxa"/>
            <w:gridSpan w:val="2"/>
          </w:tcPr>
          <w:p>
            <w:pPr>
              <w:pStyle w:val="33"/>
              <w:keepNext w:val="0"/>
              <w:keepLines w:val="0"/>
              <w:suppressLineNumbers w:val="0"/>
              <w:shd w:val="clear" w:color="auto" w:fill="FFFFFF"/>
              <w:spacing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tcPr>
          <w:p>
            <w:pPr>
              <w:pStyle w:val="33"/>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z w:val="21"/>
                <w:szCs w:val="21"/>
              </w:rPr>
            </w:pPr>
          </w:p>
        </w:tc>
        <w:tc>
          <w:tcPr>
            <w:tcW w:w="1553" w:type="dxa"/>
            <w:gridSpan w:val="2"/>
            <w:vMerge w:val="continue"/>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333"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418" w:type="dxa"/>
            <w:gridSpan w:val="2"/>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1276" w:type="dxa"/>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c>
          <w:tcPr>
            <w:tcW w:w="2551" w:type="dxa"/>
            <w:gridSpan w:val="3"/>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16"/>
                <w:sz w:val="21"/>
                <w:szCs w:val="21"/>
              </w:rPr>
            </w:pPr>
          </w:p>
        </w:tc>
        <w:tc>
          <w:tcPr>
            <w:tcW w:w="1553" w:type="dxa"/>
            <w:gridSpan w:val="2"/>
          </w:tcPr>
          <w:p>
            <w:pPr>
              <w:pStyle w:val="33"/>
              <w:keepNext w:val="0"/>
              <w:keepLines w:val="0"/>
              <w:suppressLineNumbers w:val="0"/>
              <w:shd w:val="clear" w:color="auto" w:fill="FFFFFF"/>
              <w:spacing w:before="0" w:beforeAutospacing="0" w:after="0" w:afterAutospacing="0" w:line="360" w:lineRule="auto"/>
              <w:ind w:left="0" w:right="-107" w:rightChars="-51"/>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578" w:type="dxa"/>
            <w:gridSpan w:val="9"/>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3"/>
              <w:keepNext w:val="0"/>
              <w:keepLines w:val="0"/>
              <w:suppressLineNumbers w:val="0"/>
              <w:shd w:val="clear" w:color="auto" w:fill="FFFFFF"/>
              <w:spacing w:line="360" w:lineRule="auto"/>
              <w:ind w:left="107" w:right="0"/>
              <w:rPr>
                <w:rFonts w:hint="default" w:ascii="Times New Roman" w:hAnsi="Times New Roman" w:cs="Times New Roman"/>
                <w:bCs/>
                <w:color w:val="auto"/>
                <w:spacing w:val="27"/>
                <w:sz w:val="21"/>
                <w:szCs w:val="21"/>
              </w:rPr>
            </w:pPr>
          </w:p>
        </w:tc>
        <w:tc>
          <w:tcPr>
            <w:tcW w:w="1553" w:type="dxa"/>
            <w:gridSpan w:val="2"/>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578" w:type="dxa"/>
            <w:gridSpan w:val="9"/>
          </w:tcPr>
          <w:p>
            <w:pPr>
              <w:pStyle w:val="33"/>
              <w:keepNext w:val="0"/>
              <w:keepLines w:val="0"/>
              <w:suppressLineNumbers w:val="0"/>
              <w:shd w:val="clear" w:color="auto" w:fill="FFFFFF"/>
              <w:spacing w:line="360" w:lineRule="auto"/>
              <w:ind w:left="0" w:right="0"/>
              <w:rPr>
                <w:rFonts w:hint="default" w:ascii="Times New Roman" w:hAnsi="Times New Roman" w:cs="Times New Roman"/>
                <w:bCs/>
                <w:color w:val="auto"/>
                <w:spacing w:val="16"/>
                <w:sz w:val="21"/>
                <w:szCs w:val="21"/>
              </w:rPr>
            </w:pPr>
          </w:p>
        </w:tc>
      </w:tr>
    </w:tbl>
    <w:p>
      <w:pPr>
        <w:pStyle w:val="33"/>
        <w:shd w:val="clear" w:color="auto" w:fill="FFFFFF"/>
        <w:spacing w:before="0" w:beforeAutospacing="0" w:after="0" w:afterAutospacing="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3"/>
        <w:shd w:val="clear" w:color="auto" w:fill="FFFFFF"/>
        <w:spacing w:before="0" w:beforeAutospacing="0" w:after="0" w:afterAutospacing="0" w:line="360" w:lineRule="auto"/>
        <w:ind w:firstLine="424" w:firstLineChars="202"/>
        <w:rPr>
          <w:rFonts w:hint="default"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default" w:ascii="Times New Roman" w:hAnsi="Times New Roman" w:cs="Times New Roman"/>
          <w:color w:val="auto"/>
          <w:sz w:val="21"/>
          <w:szCs w:val="21"/>
          <w:lang w:eastAsia="zh-CN"/>
        </w:rPr>
        <w:t>。</w:t>
      </w:r>
    </w:p>
    <w:p>
      <w:pPr>
        <w:spacing w:line="360" w:lineRule="auto"/>
        <w:rPr>
          <w:rFonts w:hint="default" w:ascii="Times New Roman" w:hAnsi="Times New Roman" w:cs="Times New Roman"/>
          <w:color w:val="auto"/>
          <w:sz w:val="24"/>
        </w:rPr>
      </w:pPr>
    </w:p>
    <w:p>
      <w:pPr>
        <w:spacing w:line="360" w:lineRule="auto"/>
        <w:rPr>
          <w:rFonts w:hint="default" w:ascii="Times New Roman" w:hAnsi="Times New Roman" w:cs="Times New Roman"/>
          <w:color w:val="auto"/>
          <w:sz w:val="24"/>
        </w:rPr>
      </w:pP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371" w:firstLineChars="177"/>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3"/>
        <w:shd w:val="clear" w:color="auto" w:fill="FFFFFF"/>
        <w:spacing w:before="0" w:beforeAutospacing="0" w:after="0" w:afterAutospacing="0" w:line="360" w:lineRule="auto"/>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4"/>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附件6</w:t>
      </w:r>
    </w:p>
    <w:p>
      <w:pPr>
        <w:snapToGrid w:val="0"/>
        <w:spacing w:beforeLines="50" w:after="50"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项目人员配置一览表</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3"/>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3"/>
              <w:keepNext w:val="0"/>
              <w:keepLines w:val="0"/>
              <w:suppressLineNumbers w:val="0"/>
              <w:snapToGrid w:val="0"/>
              <w:spacing w:before="0" w:beforeLines="50" w:beforeAutospacing="0" w:after="50" w:afterAutospacing="0" w:line="360" w:lineRule="auto"/>
              <w:ind w:left="5250" w:right="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3"/>
              <w:keepNext w:val="0"/>
              <w:keepLines w:val="0"/>
              <w:suppressLineNumbers w:val="0"/>
              <w:spacing w:before="0" w:beforeAutospacing="0" w:after="0" w:afterAutospacing="0" w:line="360" w:lineRule="auto"/>
              <w:ind w:left="5250" w:right="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spacing w:line="360" w:lineRule="auto"/>
        <w:ind w:left="437"/>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w:t>
      </w:r>
      <w:r>
        <w:rPr>
          <w:rFonts w:hint="default" w:ascii="Times New Roman" w:hAnsi="Times New Roman" w:cs="Times New Roman"/>
          <w:color w:val="auto"/>
          <w:sz w:val="21"/>
          <w:szCs w:val="21"/>
        </w:rPr>
        <w:t>在填写时，如本表格不适合投标单位的实际情况，可根据本表格式自行划表填写。</w:t>
      </w:r>
    </w:p>
    <w:p>
      <w:pPr>
        <w:pStyle w:val="34"/>
        <w:spacing w:line="360" w:lineRule="auto"/>
        <w:ind w:left="424" w:left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2.附人员证书复印件；</w:t>
      </w:r>
    </w:p>
    <w:p>
      <w:pPr>
        <w:snapToGrid w:val="0"/>
        <w:spacing w:before="50" w:afterLines="50" w:line="360" w:lineRule="auto"/>
        <w:jc w:val="left"/>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ind w:firstLine="435"/>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附件7</w:t>
      </w:r>
    </w:p>
    <w:p>
      <w:pPr>
        <w:spacing w:beforeLines="50" w:afterLines="50" w:line="360" w:lineRule="auto"/>
        <w:ind w:right="-10"/>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项目负责人资格情况表</w:t>
      </w:r>
    </w:p>
    <w:p>
      <w:pPr>
        <w:spacing w:line="360" w:lineRule="auto"/>
        <w:rPr>
          <w:rFonts w:hint="default" w:ascii="Times New Roman" w:hAnsi="Times New Roman" w:cs="Times New Roman"/>
          <w:color w:val="auto"/>
        </w:rPr>
      </w:pPr>
      <w:r>
        <w:rPr>
          <w:rFonts w:hint="default" w:ascii="Times New Roman" w:hAnsi="Times New Roman" w:cs="Times New Roman"/>
          <w:color w:val="auto"/>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pacing w:line="360" w:lineRule="auto"/>
        <w:ind w:left="480"/>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eastAsia="zh-CN"/>
        </w:rPr>
        <w:t>设备及器具</w:t>
      </w:r>
      <w:r>
        <w:rPr>
          <w:rFonts w:hint="default" w:ascii="Times New Roman" w:hAnsi="Times New Roman" w:cs="Times New Roman"/>
          <w:b/>
          <w:color w:val="auto"/>
          <w:sz w:val="32"/>
          <w:szCs w:val="32"/>
        </w:rPr>
        <w:t>清单</w:t>
      </w:r>
    </w:p>
    <w:p>
      <w:pPr>
        <w:spacing w:line="360" w:lineRule="auto"/>
        <w:ind w:left="480"/>
        <w:rPr>
          <w:rFonts w:hint="default" w:ascii="Times New Roman" w:hAnsi="Times New Roman" w:cs="Times New Roman"/>
          <w:color w:val="auto"/>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9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738" w:firstLineChars="350"/>
              <w:jc w:val="both"/>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134"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w:t>
            </w:r>
          </w:p>
        </w:tc>
        <w:tc>
          <w:tcPr>
            <w:tcW w:w="1842"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993"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产地</w:t>
            </w:r>
          </w:p>
        </w:tc>
        <w:tc>
          <w:tcPr>
            <w:tcW w:w="1559"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48"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9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3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84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spacing w:line="360" w:lineRule="auto"/>
        <w:ind w:left="435" w:firstLine="556" w:firstLineChars="265"/>
        <w:rPr>
          <w:rFonts w:hint="default" w:ascii="Times New Roman" w:hAnsi="Times New Roman" w:eastAsia="宋体" w:cs="Times New Roman"/>
          <w:color w:val="auto"/>
          <w:sz w:val="21"/>
          <w:szCs w:val="21"/>
          <w:lang w:eastAsia="zh-CN"/>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8"/>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36"/>
        <w:spacing w:line="360" w:lineRule="auto"/>
        <w:jc w:val="left"/>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9</w:t>
      </w:r>
    </w:p>
    <w:p>
      <w:pPr>
        <w:pStyle w:val="37"/>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b/>
          <w:color w:val="auto"/>
          <w:sz w:val="32"/>
          <w:szCs w:val="32"/>
        </w:rPr>
        <w:t>证书一览表</w:t>
      </w: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7"/>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7"/>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7"/>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7"/>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7"/>
        <w:tabs>
          <w:tab w:val="left" w:pos="1050"/>
        </w:tabs>
        <w:spacing w:line="360" w:lineRule="auto"/>
        <w:ind w:firstLine="720" w:firstLineChars="300"/>
        <w:rPr>
          <w:rFonts w:hint="default" w:ascii="Times New Roman" w:hAnsi="Times New Roman" w:eastAsia="仿宋_GB2312" w:cs="Times New Roman"/>
          <w:color w:val="auto"/>
          <w:sz w:val="24"/>
        </w:rPr>
      </w:pPr>
    </w:p>
    <w:p>
      <w:pPr>
        <w:pStyle w:val="37"/>
        <w:tabs>
          <w:tab w:val="left" w:pos="1050"/>
        </w:tabs>
        <w:spacing w:line="360" w:lineRule="auto"/>
        <w:ind w:firstLine="720" w:firstLineChars="300"/>
        <w:rPr>
          <w:rFonts w:hint="default" w:ascii="Times New Roman" w:hAnsi="Times New Roman" w:eastAsia="仿宋_GB2312" w:cs="Times New Roman"/>
          <w:color w:val="auto"/>
          <w:sz w:val="24"/>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0</w:t>
      </w:r>
    </w:p>
    <w:p>
      <w:pPr>
        <w:pStyle w:val="36"/>
        <w:spacing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投标人类似项目实施情况一览表</w:t>
      </w:r>
    </w:p>
    <w:tbl>
      <w:tblPr>
        <w:tblStyle w:val="20"/>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项目质量</w:t>
            </w:r>
          </w:p>
        </w:tc>
        <w:tc>
          <w:tcPr>
            <w:tcW w:w="1707" w:type="dxa"/>
            <w:tcBorders>
              <w:top w:val="single" w:color="auto" w:sz="6" w:space="0"/>
              <w:left w:val="single" w:color="auto" w:sz="6" w:space="0"/>
              <w:bottom w:val="single" w:color="auto" w:sz="6" w:space="0"/>
              <w:right w:val="single" w:color="auto" w:sz="6" w:space="0"/>
            </w:tcBorders>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52"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autoSpaceDE w:val="0"/>
        <w:autoSpaceDN w:val="0"/>
        <w:adjustRightInd w:val="0"/>
        <w:spacing w:beforeLines="50"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beforeLines="50" w:line="360" w:lineRule="auto"/>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360" w:lineRule="auto"/>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 w:val="22"/>
          <w:szCs w:val="22"/>
        </w:rPr>
      </w:pPr>
    </w:p>
    <w:p>
      <w:pPr>
        <w:spacing w:line="360" w:lineRule="auto"/>
        <w:rPr>
          <w:rFonts w:hint="default" w:ascii="Times New Roman" w:hAnsi="Times New Roman" w:cs="Times New Roman"/>
          <w:color w:val="auto"/>
          <w:sz w:val="22"/>
          <w:szCs w:val="22"/>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4"/>
        </w:rPr>
      </w:pPr>
      <w:r>
        <w:rPr>
          <w:rFonts w:hint="default" w:ascii="Times New Roman" w:hAnsi="Times New Roman" w:cs="Times New Roman"/>
          <w:color w:val="auto"/>
          <w:sz w:val="21"/>
          <w:szCs w:val="21"/>
        </w:rPr>
        <w:t>日        期：</w:t>
      </w:r>
    </w:p>
    <w:p>
      <w:pPr>
        <w:jc w:val="center"/>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28"/>
        <w:rPr>
          <w:rFonts w:hint="default" w:ascii="Times New Roman" w:hAnsi="Times New Roman" w:eastAsia="仿宋" w:cs="Times New Roman"/>
          <w:snapToGrid w:val="0"/>
          <w:color w:val="auto"/>
          <w:kern w:val="0"/>
          <w:sz w:val="24"/>
        </w:rPr>
      </w:pPr>
    </w:p>
    <w:p>
      <w:pPr>
        <w:pStyle w:val="37"/>
        <w:tabs>
          <w:tab w:val="left" w:pos="1050"/>
        </w:tabs>
        <w:spacing w:line="360" w:lineRule="auto"/>
        <w:rPr>
          <w:rFonts w:hint="default" w:ascii="Times New Roman" w:hAnsi="Times New Roman" w:cs="Times New Roman"/>
          <w:b/>
          <w:color w:val="auto"/>
          <w:sz w:val="21"/>
          <w:szCs w:val="21"/>
        </w:rPr>
      </w:pPr>
    </w:p>
    <w:p>
      <w:pPr>
        <w:pStyle w:val="37"/>
        <w:tabs>
          <w:tab w:val="left" w:pos="1050"/>
        </w:tabs>
        <w:spacing w:line="36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1</w:t>
      </w:r>
    </w:p>
    <w:p>
      <w:pPr>
        <w:spacing w:line="360" w:lineRule="auto"/>
        <w:ind w:left="549" w:hanging="549" w:hangingChars="171"/>
        <w:jc w:val="center"/>
        <w:rPr>
          <w:rFonts w:hint="default" w:ascii="Times New Roman" w:hAnsi="Times New Roman" w:cs="Times New Roman"/>
          <w:b/>
          <w:color w:val="auto"/>
          <w:sz w:val="18"/>
          <w:szCs w:val="18"/>
        </w:rPr>
      </w:pPr>
      <w:r>
        <w:rPr>
          <w:rFonts w:hint="default" w:ascii="Times New Roman" w:hAnsi="Times New Roman" w:cs="Times New Roman"/>
          <w:b/>
          <w:color w:val="auto"/>
          <w:sz w:val="32"/>
          <w:szCs w:val="32"/>
        </w:rPr>
        <w:t>资信及商务需求响应表</w:t>
      </w: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68"/>
        <w:gridCol w:w="1502"/>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068" w:type="dxa"/>
            <w:vAlign w:val="center"/>
          </w:tcPr>
          <w:p>
            <w:pPr>
              <w:keepNext w:val="0"/>
              <w:keepLines w:val="0"/>
              <w:suppressLineNumbers w:val="0"/>
              <w:spacing w:before="0" w:beforeAutospacing="0" w:after="0" w:afterAutospacing="0"/>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   内容</w:t>
            </w:r>
          </w:p>
        </w:tc>
        <w:tc>
          <w:tcPr>
            <w:tcW w:w="1502" w:type="dxa"/>
            <w:vAlign w:val="center"/>
          </w:tcPr>
          <w:p>
            <w:pPr>
              <w:keepNext w:val="0"/>
              <w:keepLines w:val="0"/>
              <w:suppressLineNumbers w:val="0"/>
              <w:spacing w:before="0" w:beforeAutospacing="0" w:after="0" w:afterAutospacing="0"/>
              <w:ind w:left="53" w:leftChars="25" w:right="0" w:firstLine="211" w:firstLineChars="1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65" w:type="dxa"/>
            <w:vAlign w:val="center"/>
          </w:tcPr>
          <w:p>
            <w:pPr>
              <w:keepNext w:val="0"/>
              <w:keepLines w:val="0"/>
              <w:suppressLineNumbers w:val="0"/>
              <w:spacing w:before="0" w:beforeAutospacing="0" w:after="0" w:afterAutospacing="0"/>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6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售后服务保障要求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备品备件及耗材等要求</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质保期</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服务时间及地点</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付款条件</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068" w:type="dxa"/>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21"/>
                <w:szCs w:val="21"/>
              </w:rPr>
            </w:pPr>
          </w:p>
        </w:tc>
        <w:tc>
          <w:tcPr>
            <w:tcW w:w="1502"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2625"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4"/>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tabs>
          <w:tab w:val="left" w:pos="2460"/>
        </w:tabs>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ind w:firstLine="435"/>
        <w:rPr>
          <w:rFonts w:hint="default" w:ascii="Times New Roman" w:hAnsi="Times New Roman" w:cs="Times New Roman"/>
          <w:color w:val="auto"/>
          <w:sz w:val="21"/>
          <w:szCs w:val="21"/>
        </w:rPr>
      </w:pPr>
    </w:p>
    <w:p>
      <w:pPr>
        <w:tabs>
          <w:tab w:val="left" w:pos="2460"/>
        </w:tabs>
        <w:spacing w:line="360" w:lineRule="auto"/>
        <w:rPr>
          <w:rFonts w:hint="default" w:ascii="Times New Roman" w:hAnsi="Times New Roman" w:cs="Times New Roman"/>
          <w:b/>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12</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玉环市旅游集团有限公司</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20"/>
          <w:szCs w:val="20"/>
          <w:lang w:eastAsia="zh-CN"/>
        </w:rPr>
      </w:pPr>
      <w:r>
        <w:rPr>
          <w:rFonts w:hint="default" w:ascii="Times New Roman" w:hAnsi="Times New Roman" w:cs="Times New Roman"/>
          <w:b/>
          <w:bCs/>
          <w:color w:val="auto"/>
          <w:kern w:val="0"/>
          <w:sz w:val="20"/>
          <w:szCs w:val="20"/>
          <w:lang w:eastAsia="zh-CN"/>
        </w:rPr>
        <w:t>玉环漩门湾湿地公园主入口停车场至3号地至5号地至东入口延伸</w:t>
      </w:r>
      <w:r>
        <w:rPr>
          <w:rFonts w:hint="default" w:ascii="Times New Roman" w:hAnsi="Times New Roman" w:cs="Times New Roman"/>
          <w:b/>
          <w:bCs/>
          <w:color w:val="auto"/>
          <w:kern w:val="0"/>
          <w:sz w:val="20"/>
          <w:szCs w:val="20"/>
          <w:lang w:val="en-US" w:eastAsia="zh-CN"/>
        </w:rPr>
        <w:t>一</w:t>
      </w:r>
      <w:r>
        <w:rPr>
          <w:rFonts w:hint="default" w:ascii="Times New Roman" w:hAnsi="Times New Roman" w:cs="Times New Roman"/>
          <w:b/>
          <w:bCs/>
          <w:color w:val="auto"/>
          <w:kern w:val="0"/>
          <w:sz w:val="20"/>
          <w:szCs w:val="20"/>
          <w:lang w:eastAsia="zh-CN"/>
        </w:rPr>
        <w:t>公里保洁及垃圾清运项目</w:t>
      </w:r>
    </w:p>
    <w:p>
      <w:pPr>
        <w:spacing w:after="100" w:afterAutospacing="1" w:line="360" w:lineRule="auto"/>
        <w:ind w:right="-108"/>
        <w:jc w:val="center"/>
        <w:rPr>
          <w:rFonts w:hint="default" w:ascii="Times New Roman" w:hAnsi="Times New Roman"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DDZX2021-Y-GK-12</w:t>
      </w:r>
    </w:p>
    <w:p>
      <w:pPr>
        <w:pStyle w:val="6"/>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3"/>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40"/>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41"/>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6"/>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13</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2"/>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42"/>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3066"/>
        <w:gridCol w:w="15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3066"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c>
          <w:tcPr>
            <w:tcW w:w="1563"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服务</w:t>
            </w:r>
            <w:r>
              <w:rPr>
                <w:rFonts w:hint="default" w:ascii="Times New Roman" w:hAnsi="Times New Roman" w:cs="Times New Roman"/>
                <w:color w:val="auto"/>
                <w:sz w:val="21"/>
                <w:szCs w:val="21"/>
                <w:lang w:val="en-US" w:eastAsia="zh-CN"/>
              </w:rPr>
              <w:t>2年</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9"/>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包括人员工资、福利、社保及意外保险、服装、员工劳保、法定节假日加班、员工高温、作业工具、作业机械及维护、清卫保洁、垃圾清运及处置、管理、利润等一切税金和费用。</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pStyle w:val="28"/>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4</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20"/>
        <w:tblW w:w="866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392"/>
        <w:gridCol w:w="1491"/>
        <w:gridCol w:w="1400"/>
        <w:gridCol w:w="118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392"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49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14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118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1184"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1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23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9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140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184"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67" w:type="dxa"/>
            <w:gridSpan w:val="6"/>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3"/>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3"/>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3"/>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3"/>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3"/>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3"/>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3"/>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kern w:val="2"/>
          <w:sz w:val="21"/>
          <w:szCs w:val="21"/>
          <w:u w:val="none"/>
          <w:lang w:val="en-US" w:eastAsia="zh-CN" w:bidi="ar-SA"/>
        </w:rPr>
        <w:t xml:space="preserve">    </w:t>
      </w:r>
      <w:r>
        <w:rPr>
          <w:rFonts w:hint="default" w:ascii="Times New Roman" w:hAnsi="Times New Roman" w:eastAsia="宋体" w:cs="Times New Roman"/>
          <w:color w:val="auto"/>
          <w:sz w:val="21"/>
          <w:szCs w:val="21"/>
        </w:rPr>
        <w:t>日</w:t>
      </w:r>
    </w:p>
    <w:p>
      <w:pPr>
        <w:pStyle w:val="43"/>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3"/>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3"/>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3"/>
        <w:spacing w:line="360" w:lineRule="auto"/>
        <w:ind w:firstLine="444" w:firstLineChars="200"/>
        <w:rPr>
          <w:rFonts w:hint="default" w:ascii="Times New Roman" w:hAnsi="Times New Roman" w:cs="Times New Roman"/>
          <w:color w:val="auto"/>
          <w:spacing w:val="6"/>
          <w:sz w:val="21"/>
          <w:szCs w:val="21"/>
        </w:rPr>
      </w:pPr>
    </w:p>
    <w:p>
      <w:pPr>
        <w:pStyle w:val="43"/>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3"/>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3"/>
        <w:spacing w:line="360" w:lineRule="auto"/>
        <w:rPr>
          <w:rFonts w:hint="default" w:ascii="Times New Roman" w:hAnsi="Times New Roman" w:cs="Times New Roman"/>
          <w:b/>
          <w:color w:val="auto"/>
          <w:sz w:val="21"/>
          <w:szCs w:val="21"/>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spacing w:line="360" w:lineRule="auto"/>
        <w:rPr>
          <w:rFonts w:hint="default" w:ascii="Times New Roman" w:hAnsi="Times New Roman" w:cs="Times New Roman"/>
          <w:b/>
          <w:color w:val="auto"/>
          <w:sz w:val="28"/>
          <w:szCs w:val="28"/>
        </w:rPr>
      </w:pPr>
    </w:p>
    <w:p>
      <w:pPr>
        <w:pStyle w:val="4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2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20"/>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41"/>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41"/>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41"/>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41"/>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4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3" w:bottom="1440" w:left="1800" w:header="851" w:footer="992" w:gutter="0"/>
      <w:pgBorders>
        <w:top w:val="none" w:sz="0" w:space="0"/>
        <w:left w:val="none" w:sz="0" w:space="0"/>
        <w:bottom w:val="none" w:sz="0" w:space="0"/>
        <w:right w:val="none" w:sz="0" w:space="0"/>
      </w:pgBorders>
      <w:pgNumType w:fmt="numberInDash" w:start="1"/>
      <w:cols w:space="425"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2DE46E49">
      <w:pPr>
        <w:pStyle w:val="10"/>
      </w:pPr>
    </w:p>
  </w:comment>
  <w:comment w:id="1" w:author="S-mile" w:date="2018-09-27T09:40:42Z" w:initials="">
    <w:p w14:paraId="415344E7">
      <w:pPr>
        <w:pStyle w:val="10"/>
      </w:pPr>
    </w:p>
  </w:comment>
  <w:comment w:id="2" w:author="S-mile" w:date="2018-09-27T09:42:00Z" w:initials="">
    <w:p w14:paraId="08257EE4">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E46E49" w15:done="0"/>
  <w15:commentEx w15:paraId="415344E7" w15:done="0"/>
  <w15:commentEx w15:paraId="08257E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16"/>
        <w:szCs w:val="22"/>
      </w:rPr>
    </w:pPr>
    <w:r>
      <w:rPr>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60288;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ClSD0MgIAAGE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30FwtQAAAAHAQAADwAAAAAAAAABACAAAAAiAAAAZHJzL2Rvd25yZXYueG1sUEsB&#10;AhQAFAAAAAgAh07iQAKVIPQyAgAAYQQAAA4AAAAAAAAAAQAgAAAAIwEAAGRycy9lMm9Eb2MueG1s&#10;UEsFBgAAAAAGAAYAWQEAAMcFAAAAAA==&#10;">
              <v:fill on="f" focussize="0,0"/>
              <v:stroke on="f" weight="0.5pt"/>
              <v:imagedata o:title=""/>
              <o:lock v:ext="edit" aspectratio="f"/>
              <v:textbox inset="0mm,0mm,0mm,0mm" style="mso-fit-shape-to-text:t;">
                <w:txbxContent>
                  <w:p>
                    <w:pPr>
                      <w:pStyle w:val="15"/>
                      <w:rPr>
                        <w:rFonts w:hint="eastAsia" w:eastAsia="宋体"/>
                        <w:sz w:val="16"/>
                        <w:szCs w:val="22"/>
                        <w:lang w:eastAsia="zh-CN"/>
                      </w:rPr>
                    </w:pPr>
                    <w:r>
                      <w:rPr>
                        <w:rFonts w:hint="eastAsia"/>
                        <w:sz w:val="16"/>
                        <w:szCs w:val="22"/>
                        <w:lang w:eastAsia="zh-CN"/>
                      </w:rPr>
                      <w:fldChar w:fldCharType="begin"/>
                    </w:r>
                    <w:r>
                      <w:rPr>
                        <w:rFonts w:hint="eastAsia"/>
                        <w:sz w:val="16"/>
                        <w:szCs w:val="22"/>
                        <w:lang w:eastAsia="zh-CN"/>
                      </w:rPr>
                      <w:instrText xml:space="preserve"> PAGE  \* MERGEFORMAT </w:instrText>
                    </w:r>
                    <w:r>
                      <w:rPr>
                        <w:rFonts w:hint="eastAsia"/>
                        <w:sz w:val="16"/>
                        <w:szCs w:val="22"/>
                        <w:lang w:eastAsia="zh-CN"/>
                      </w:rPr>
                      <w:fldChar w:fldCharType="separate"/>
                    </w:r>
                    <w:r>
                      <w:rPr>
                        <w:rFonts w:hint="eastAsia"/>
                        <w:sz w:val="16"/>
                        <w:szCs w:val="22"/>
                        <w:lang w:eastAsia="zh-CN"/>
                      </w:rPr>
                      <w:t>1</w:t>
                    </w:r>
                    <w:r>
                      <w:rPr>
                        <w:rFonts w:hint="eastAsia"/>
                        <w:sz w:val="16"/>
                        <w:szCs w:val="22"/>
                        <w:lang w:eastAsia="zh-CN"/>
                      </w:rPr>
                      <w:fldChar w:fldCharType="end"/>
                    </w:r>
                  </w:p>
                </w:txbxContent>
              </v:textbox>
            </v:shape>
          </w:pict>
        </mc:Fallback>
      </mc:AlternateContent>
    </w:r>
    <w:r>
      <w:rPr>
        <w:rFonts w:hint="default" w:ascii="Times New Roman" w:hAnsi="Times New Roman" w:eastAsia="宋体" w:cs="Times New Roman"/>
        <w:kern w:val="0"/>
        <w:sz w:val="22"/>
        <w:szCs w:val="22"/>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0"/>
        <w:szCs w:val="20"/>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right"/>
    </w:pPr>
    <w:r>
      <w:rPr>
        <w:rFonts w:hint="eastAsia"/>
        <w:b/>
        <w:i w:val="0"/>
        <w:iCs/>
        <w:color w:val="000000" w:themeColor="text1"/>
        <w:kern w:val="0"/>
        <w:sz w:val="18"/>
        <w:u w:val="single"/>
        <w:lang w:val="en-US" w:eastAsia="zh-CN"/>
        <w14:textFill>
          <w14:solidFill>
            <w14:schemeClr w14:val="tx1"/>
          </w14:solidFill>
        </w14:textFill>
      </w:rPr>
      <w:t xml:space="preserve">         玉环漩门湾</w:t>
    </w:r>
    <w:r>
      <w:rPr>
        <w:rFonts w:hint="eastAsia"/>
        <w:b/>
        <w:i w:val="0"/>
        <w:iCs/>
        <w:color w:val="000000" w:themeColor="text1"/>
        <w:kern w:val="0"/>
        <w:sz w:val="18"/>
        <w:u w:val="single"/>
        <w:lang w:eastAsia="zh-CN"/>
        <w14:textFill>
          <w14:solidFill>
            <w14:schemeClr w14:val="tx1"/>
          </w14:solidFill>
        </w14:textFill>
      </w:rPr>
      <w:t>湿地公园主入口停车场至3号地至5号地至东入口延伸</w:t>
    </w:r>
    <w:r>
      <w:rPr>
        <w:rFonts w:hint="eastAsia"/>
        <w:b/>
        <w:i w:val="0"/>
        <w:iCs/>
        <w:color w:val="000000" w:themeColor="text1"/>
        <w:kern w:val="0"/>
        <w:sz w:val="18"/>
        <w:u w:val="single"/>
        <w:lang w:val="en-US" w:eastAsia="zh-CN"/>
        <w14:textFill>
          <w14:solidFill>
            <w14:schemeClr w14:val="tx1"/>
          </w14:solidFill>
        </w14:textFill>
      </w:rPr>
      <w:t>一</w:t>
    </w:r>
    <w:r>
      <w:rPr>
        <w:rFonts w:hint="eastAsia"/>
        <w:b/>
        <w:i w:val="0"/>
        <w:iCs/>
        <w:color w:val="000000" w:themeColor="text1"/>
        <w:kern w:val="0"/>
        <w:sz w:val="18"/>
        <w:u w:val="single"/>
        <w:lang w:eastAsia="zh-CN"/>
        <w14:textFill>
          <w14:solidFill>
            <w14:schemeClr w14:val="tx1"/>
          </w14:solidFill>
        </w14:textFill>
      </w:rPr>
      <w:t>公里保洁及垃圾清运项目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1">
    <w:nsid w:val="461E5E94"/>
    <w:multiLevelType w:val="singleLevel"/>
    <w:tmpl w:val="461E5E94"/>
    <w:lvl w:ilvl="0" w:tentative="0">
      <w:start w:val="2"/>
      <w:numFmt w:val="chineseCounting"/>
      <w:suff w:val="space"/>
      <w:lvlText w:val="第%1章"/>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dit="readOnly" w:formatting="1" w:enforcement="1" w:cryptProviderType="rsaFull" w:cryptAlgorithmClass="hash" w:cryptAlgorithmType="typeAny" w:cryptAlgorithmSid="4" w:cryptSpinCount="0" w:hash="BluQR9YV++6u/MO5/l8ucnPbk1s=" w:salt="kylI2rRXxLITav1qYz2xsg=="/>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4232B2"/>
    <w:rsid w:val="01935887"/>
    <w:rsid w:val="01941F14"/>
    <w:rsid w:val="027E342C"/>
    <w:rsid w:val="03441822"/>
    <w:rsid w:val="04CC341D"/>
    <w:rsid w:val="04CC5FAC"/>
    <w:rsid w:val="05137CD7"/>
    <w:rsid w:val="05DB4F53"/>
    <w:rsid w:val="060B26E0"/>
    <w:rsid w:val="06A35087"/>
    <w:rsid w:val="07707311"/>
    <w:rsid w:val="084E34AF"/>
    <w:rsid w:val="08D81C0A"/>
    <w:rsid w:val="09864536"/>
    <w:rsid w:val="0A6D1E72"/>
    <w:rsid w:val="0B511CBD"/>
    <w:rsid w:val="0C1E2BA0"/>
    <w:rsid w:val="0C1F442C"/>
    <w:rsid w:val="0C765CB2"/>
    <w:rsid w:val="0D9E64EC"/>
    <w:rsid w:val="0DC84C88"/>
    <w:rsid w:val="0E0A3CC6"/>
    <w:rsid w:val="0E970358"/>
    <w:rsid w:val="0EF57E77"/>
    <w:rsid w:val="0FB654B7"/>
    <w:rsid w:val="10392EAE"/>
    <w:rsid w:val="10706EC2"/>
    <w:rsid w:val="10C9584C"/>
    <w:rsid w:val="11FE6D5B"/>
    <w:rsid w:val="12711745"/>
    <w:rsid w:val="12807280"/>
    <w:rsid w:val="144644F9"/>
    <w:rsid w:val="148463E6"/>
    <w:rsid w:val="14AE5E6F"/>
    <w:rsid w:val="14D20D9B"/>
    <w:rsid w:val="15A72BED"/>
    <w:rsid w:val="1621170E"/>
    <w:rsid w:val="16506678"/>
    <w:rsid w:val="16966F0A"/>
    <w:rsid w:val="16AB0710"/>
    <w:rsid w:val="16BE52B8"/>
    <w:rsid w:val="17621572"/>
    <w:rsid w:val="180061A5"/>
    <w:rsid w:val="183B3451"/>
    <w:rsid w:val="18A927A6"/>
    <w:rsid w:val="18B91D2B"/>
    <w:rsid w:val="18C40414"/>
    <w:rsid w:val="19460E1D"/>
    <w:rsid w:val="19A2054E"/>
    <w:rsid w:val="1A6A6D44"/>
    <w:rsid w:val="1A817123"/>
    <w:rsid w:val="1B044A3D"/>
    <w:rsid w:val="1C093ECB"/>
    <w:rsid w:val="1CE4433A"/>
    <w:rsid w:val="1D7769B6"/>
    <w:rsid w:val="1DD7302F"/>
    <w:rsid w:val="1EE84AA8"/>
    <w:rsid w:val="1F281E09"/>
    <w:rsid w:val="20895233"/>
    <w:rsid w:val="219B7871"/>
    <w:rsid w:val="21D26D38"/>
    <w:rsid w:val="228447E5"/>
    <w:rsid w:val="23424F53"/>
    <w:rsid w:val="236E14E2"/>
    <w:rsid w:val="240208EA"/>
    <w:rsid w:val="24392DCB"/>
    <w:rsid w:val="24EA67CA"/>
    <w:rsid w:val="25CD4294"/>
    <w:rsid w:val="25D363E8"/>
    <w:rsid w:val="26CD023C"/>
    <w:rsid w:val="26F61CDC"/>
    <w:rsid w:val="27720CEB"/>
    <w:rsid w:val="29D148D0"/>
    <w:rsid w:val="29D92235"/>
    <w:rsid w:val="2AB60F1B"/>
    <w:rsid w:val="2AC803DC"/>
    <w:rsid w:val="2B043A4B"/>
    <w:rsid w:val="2D186DAF"/>
    <w:rsid w:val="2E5F5A23"/>
    <w:rsid w:val="2EA12AA4"/>
    <w:rsid w:val="2F1A0662"/>
    <w:rsid w:val="2F6D39DC"/>
    <w:rsid w:val="2F9D0EE0"/>
    <w:rsid w:val="30143D85"/>
    <w:rsid w:val="305F342C"/>
    <w:rsid w:val="31752B09"/>
    <w:rsid w:val="31C1698F"/>
    <w:rsid w:val="33C551F0"/>
    <w:rsid w:val="341548E3"/>
    <w:rsid w:val="364E13A3"/>
    <w:rsid w:val="36D46BAB"/>
    <w:rsid w:val="36FE7316"/>
    <w:rsid w:val="37712A39"/>
    <w:rsid w:val="37973787"/>
    <w:rsid w:val="38217F99"/>
    <w:rsid w:val="387743F1"/>
    <w:rsid w:val="395875CC"/>
    <w:rsid w:val="39CF0B5C"/>
    <w:rsid w:val="39F53DB4"/>
    <w:rsid w:val="3AE50133"/>
    <w:rsid w:val="3B345EA5"/>
    <w:rsid w:val="3BA26063"/>
    <w:rsid w:val="3C027D21"/>
    <w:rsid w:val="3CC96F1E"/>
    <w:rsid w:val="3D10340F"/>
    <w:rsid w:val="3D650ACC"/>
    <w:rsid w:val="3DB531EC"/>
    <w:rsid w:val="3DC91FE6"/>
    <w:rsid w:val="3EFB2922"/>
    <w:rsid w:val="42C72950"/>
    <w:rsid w:val="43036342"/>
    <w:rsid w:val="43BC1019"/>
    <w:rsid w:val="43FB4EEB"/>
    <w:rsid w:val="44820438"/>
    <w:rsid w:val="449E5D7E"/>
    <w:rsid w:val="44A73B1E"/>
    <w:rsid w:val="44AE005A"/>
    <w:rsid w:val="451575AA"/>
    <w:rsid w:val="4552489E"/>
    <w:rsid w:val="4563730C"/>
    <w:rsid w:val="48694FA0"/>
    <w:rsid w:val="488E768B"/>
    <w:rsid w:val="49ED2342"/>
    <w:rsid w:val="49F41D5E"/>
    <w:rsid w:val="4ABD3445"/>
    <w:rsid w:val="4B17329B"/>
    <w:rsid w:val="4B1E31F7"/>
    <w:rsid w:val="4B743197"/>
    <w:rsid w:val="4BCB3573"/>
    <w:rsid w:val="4C436E2A"/>
    <w:rsid w:val="4CE75373"/>
    <w:rsid w:val="4D083832"/>
    <w:rsid w:val="4E014F3F"/>
    <w:rsid w:val="50154815"/>
    <w:rsid w:val="51261933"/>
    <w:rsid w:val="525379D2"/>
    <w:rsid w:val="541F4A72"/>
    <w:rsid w:val="561C7680"/>
    <w:rsid w:val="566D4B95"/>
    <w:rsid w:val="572656D4"/>
    <w:rsid w:val="57350825"/>
    <w:rsid w:val="57E5097D"/>
    <w:rsid w:val="587B1CBE"/>
    <w:rsid w:val="59AD06A4"/>
    <w:rsid w:val="59E47D65"/>
    <w:rsid w:val="5A0E1025"/>
    <w:rsid w:val="5A423E40"/>
    <w:rsid w:val="5A4D586D"/>
    <w:rsid w:val="5A6249B0"/>
    <w:rsid w:val="5C8353AE"/>
    <w:rsid w:val="5DD308FF"/>
    <w:rsid w:val="5E235AFD"/>
    <w:rsid w:val="5EE84C68"/>
    <w:rsid w:val="61AF6D88"/>
    <w:rsid w:val="621D5BA4"/>
    <w:rsid w:val="633B2AEA"/>
    <w:rsid w:val="635B6748"/>
    <w:rsid w:val="63947A95"/>
    <w:rsid w:val="641F3005"/>
    <w:rsid w:val="648B78DE"/>
    <w:rsid w:val="6593097C"/>
    <w:rsid w:val="666A4EBD"/>
    <w:rsid w:val="67B167D1"/>
    <w:rsid w:val="67B86FCB"/>
    <w:rsid w:val="682D5F58"/>
    <w:rsid w:val="685F1C50"/>
    <w:rsid w:val="68C728FE"/>
    <w:rsid w:val="6901481C"/>
    <w:rsid w:val="699022E9"/>
    <w:rsid w:val="6A714498"/>
    <w:rsid w:val="6BA32C9F"/>
    <w:rsid w:val="6BAB1F81"/>
    <w:rsid w:val="6C792F32"/>
    <w:rsid w:val="6C91506C"/>
    <w:rsid w:val="6E49169E"/>
    <w:rsid w:val="6E8404B9"/>
    <w:rsid w:val="6F372CFA"/>
    <w:rsid w:val="7069574F"/>
    <w:rsid w:val="711C0CD0"/>
    <w:rsid w:val="71E461C7"/>
    <w:rsid w:val="72D55AC3"/>
    <w:rsid w:val="73B270A4"/>
    <w:rsid w:val="74392901"/>
    <w:rsid w:val="745919C6"/>
    <w:rsid w:val="74702A9A"/>
    <w:rsid w:val="751B7CDF"/>
    <w:rsid w:val="761C2BBB"/>
    <w:rsid w:val="776A1DE8"/>
    <w:rsid w:val="780F2772"/>
    <w:rsid w:val="785D00CA"/>
    <w:rsid w:val="79E40411"/>
    <w:rsid w:val="7A7B239A"/>
    <w:rsid w:val="7A8660E5"/>
    <w:rsid w:val="7B593C94"/>
    <w:rsid w:val="7BC435E1"/>
    <w:rsid w:val="7BCC60FB"/>
    <w:rsid w:val="7C4A392F"/>
    <w:rsid w:val="7C9A43E4"/>
    <w:rsid w:val="7DDD6CEA"/>
    <w:rsid w:val="7E636E14"/>
    <w:rsid w:val="7FBF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6">
    <w:name w:val="heading 2"/>
    <w:basedOn w:val="1"/>
    <w:next w:val="1"/>
    <w:link w:val="49"/>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spacing w:before="0" w:beforeAutospacing="0" w:after="0" w:afterAutospacing="0" w:line="240" w:lineRule="atLeast"/>
      <w:ind w:left="0" w:right="0" w:firstLine="420" w:firstLineChars="200"/>
      <w:jc w:val="both"/>
    </w:pPr>
    <w:rPr>
      <w:rFonts w:hint="eastAsia" w:ascii="宋体" w:hAnsi="Courier New" w:eastAsia="宋体" w:cs="Times New Roman"/>
      <w:spacing w:val="-4"/>
      <w:kern w:val="2"/>
      <w:sz w:val="18"/>
      <w:szCs w:val="18"/>
      <w:lang w:val="en-US" w:eastAsia="zh-CN" w:bidi="ar"/>
    </w:rPr>
  </w:style>
  <w:style w:type="paragraph" w:styleId="3">
    <w:name w:val="Body Text Indent"/>
    <w:basedOn w:val="1"/>
    <w:link w:val="48"/>
    <w:qFormat/>
    <w:uiPriority w:val="0"/>
    <w:pPr>
      <w:spacing w:after="120"/>
      <w:ind w:left="420" w:leftChars="200"/>
    </w:pPr>
  </w:style>
  <w:style w:type="paragraph" w:customStyle="1" w:styleId="4">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annotation text"/>
    <w:basedOn w:val="1"/>
    <w:link w:val="45"/>
    <w:qFormat/>
    <w:uiPriority w:val="0"/>
    <w:pPr>
      <w:jc w:val="left"/>
    </w:pPr>
  </w:style>
  <w:style w:type="paragraph" w:styleId="11">
    <w:name w:val="Body Text"/>
    <w:basedOn w:val="1"/>
    <w:link w:val="50"/>
    <w:qFormat/>
    <w:uiPriority w:val="0"/>
    <w:pPr>
      <w:spacing w:line="360" w:lineRule="exact"/>
    </w:pPr>
    <w:rPr>
      <w:sz w:val="24"/>
    </w:rPr>
  </w:style>
  <w:style w:type="paragraph" w:styleId="12">
    <w:name w:val="Plain Text"/>
    <w:basedOn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10"/>
    <w:next w:val="10"/>
    <w:link w:val="46"/>
    <w:qFormat/>
    <w:uiPriority w:val="0"/>
    <w:rPr>
      <w:b/>
      <w:bCs/>
    </w:rPr>
  </w:style>
  <w:style w:type="paragraph" w:styleId="19">
    <w:name w:val="Body Text First Indent"/>
    <w:basedOn w:val="11"/>
    <w:qFormat/>
    <w:uiPriority w:val="0"/>
    <w:pPr>
      <w:spacing w:line="312" w:lineRule="auto"/>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FollowedHyperlink"/>
    <w:basedOn w:val="22"/>
    <w:qFormat/>
    <w:uiPriority w:val="0"/>
    <w:rPr>
      <w:color w:val="000000"/>
      <w:u w:val="none"/>
    </w:rPr>
  </w:style>
  <w:style w:type="character" w:styleId="25">
    <w:name w:val="Emphasis"/>
    <w:basedOn w:val="22"/>
    <w:qFormat/>
    <w:uiPriority w:val="0"/>
  </w:style>
  <w:style w:type="character" w:styleId="26">
    <w:name w:val="Hyperlink"/>
    <w:basedOn w:val="22"/>
    <w:qFormat/>
    <w:uiPriority w:val="0"/>
    <w:rPr>
      <w:color w:val="000000"/>
      <w:u w:val="none"/>
    </w:rPr>
  </w:style>
  <w:style w:type="character" w:styleId="27">
    <w:name w:val="annotation reference"/>
    <w:basedOn w:val="22"/>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0"/>
    <w:pPr>
      <w:ind w:firstLine="420" w:firstLineChars="200"/>
    </w:pPr>
    <w:rPr>
      <w:rFonts w:ascii="Calibri" w:hAnsi="Calibri"/>
      <w:kern w:val="0"/>
      <w:szCs w:val="20"/>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批注文字 Char"/>
    <w:basedOn w:val="22"/>
    <w:link w:val="10"/>
    <w:qFormat/>
    <w:uiPriority w:val="0"/>
    <w:rPr>
      <w:rFonts w:ascii="Times New Roman" w:hAnsi="Times New Roman" w:eastAsia="宋体" w:cs="Times New Roman"/>
      <w:kern w:val="2"/>
      <w:sz w:val="21"/>
      <w:szCs w:val="24"/>
    </w:rPr>
  </w:style>
  <w:style w:type="character" w:customStyle="1" w:styleId="46">
    <w:name w:val="批注主题 Char"/>
    <w:basedOn w:val="45"/>
    <w:link w:val="18"/>
    <w:qFormat/>
    <w:uiPriority w:val="0"/>
    <w:rPr>
      <w:b/>
      <w:bCs/>
    </w:rPr>
  </w:style>
  <w:style w:type="character" w:customStyle="1" w:styleId="47">
    <w:name w:val="批注框文本 Char"/>
    <w:basedOn w:val="22"/>
    <w:link w:val="14"/>
    <w:qFormat/>
    <w:uiPriority w:val="0"/>
    <w:rPr>
      <w:rFonts w:ascii="Times New Roman" w:hAnsi="Times New Roman" w:eastAsia="宋体" w:cs="Times New Roman"/>
      <w:kern w:val="2"/>
      <w:sz w:val="18"/>
      <w:szCs w:val="18"/>
    </w:rPr>
  </w:style>
  <w:style w:type="character" w:customStyle="1" w:styleId="48">
    <w:name w:val="正文文本缩进 Char"/>
    <w:basedOn w:val="22"/>
    <w:link w:val="3"/>
    <w:qFormat/>
    <w:uiPriority w:val="0"/>
    <w:rPr>
      <w:kern w:val="2"/>
      <w:sz w:val="21"/>
      <w:szCs w:val="24"/>
    </w:rPr>
  </w:style>
  <w:style w:type="character" w:customStyle="1" w:styleId="49">
    <w:name w:val="标题 2 Char"/>
    <w:basedOn w:val="22"/>
    <w:link w:val="6"/>
    <w:qFormat/>
    <w:uiPriority w:val="0"/>
    <w:rPr>
      <w:rFonts w:hint="default" w:ascii="Cambria" w:hAnsi="Cambria" w:eastAsia="Cambria" w:cs="Cambria"/>
      <w:b/>
      <w:kern w:val="2"/>
      <w:sz w:val="32"/>
      <w:szCs w:val="32"/>
    </w:rPr>
  </w:style>
  <w:style w:type="character" w:customStyle="1" w:styleId="50">
    <w:name w:val="正文文本 Char"/>
    <w:basedOn w:val="22"/>
    <w:link w:val="11"/>
    <w:qFormat/>
    <w:uiPriority w:val="0"/>
    <w:rPr>
      <w:rFonts w:hint="default" w:ascii="Times New Roman" w:hAnsi="Times New Roman" w:cs="Times New Roman"/>
      <w:kern w:val="2"/>
      <w:sz w:val="21"/>
      <w:szCs w:val="24"/>
    </w:rPr>
  </w:style>
  <w:style w:type="character" w:customStyle="1" w:styleId="51">
    <w:name w:val="text-overflow"/>
    <w:basedOn w:val="22"/>
    <w:qFormat/>
    <w:uiPriority w:val="0"/>
  </w:style>
  <w:style w:type="character" w:customStyle="1" w:styleId="52">
    <w:name w:val="text-overflow1"/>
    <w:basedOn w:val="22"/>
    <w:qFormat/>
    <w:uiPriority w:val="0"/>
  </w:style>
  <w:style w:type="character" w:customStyle="1" w:styleId="53">
    <w:name w:val="second-line"/>
    <w:basedOn w:val="22"/>
    <w:qFormat/>
    <w:uiPriority w:val="0"/>
    <w:rPr>
      <w:color w:val="727272"/>
    </w:rPr>
  </w:style>
  <w:style w:type="character" w:customStyle="1" w:styleId="54">
    <w:name w:val="hover9"/>
    <w:basedOn w:val="22"/>
    <w:qFormat/>
    <w:uiPriority w:val="0"/>
    <w:rPr>
      <w:color w:val="23527C"/>
      <w:shd w:val="clear" w:fill="EEEEEE"/>
    </w:rPr>
  </w:style>
  <w:style w:type="character" w:customStyle="1" w:styleId="55">
    <w:name w:val="publishtime"/>
    <w:basedOn w:val="22"/>
    <w:qFormat/>
    <w:uiPriority w:val="0"/>
    <w:rPr>
      <w:color w:val="999999"/>
    </w:rPr>
  </w:style>
  <w:style w:type="character" w:customStyle="1" w:styleId="56">
    <w:name w:val="publishtime1"/>
    <w:basedOn w:val="22"/>
    <w:qFormat/>
    <w:uiPriority w:val="0"/>
    <w:rPr>
      <w:color w:val="666666"/>
    </w:rPr>
  </w:style>
  <w:style w:type="character" w:customStyle="1" w:styleId="57">
    <w:name w:val="first-child1"/>
    <w:basedOn w:val="22"/>
    <w:qFormat/>
    <w:uiPriority w:val="0"/>
  </w:style>
  <w:style w:type="character" w:customStyle="1" w:styleId="58">
    <w:name w:val="focus"/>
    <w:basedOn w:val="22"/>
    <w:qFormat/>
    <w:uiPriority w:val="0"/>
    <w:rPr>
      <w:color w:val="23527C"/>
      <w:shd w:val="clear" w:fill="EEEEEE"/>
    </w:rPr>
  </w:style>
  <w:style w:type="character" w:customStyle="1" w:styleId="59">
    <w:name w:val="focus1"/>
    <w:basedOn w:val="22"/>
    <w:qFormat/>
    <w:uiPriority w:val="0"/>
    <w:rPr>
      <w:color w:val="777777"/>
      <w:shd w:val="clear" w:fill="FFFFFF"/>
    </w:rPr>
  </w:style>
  <w:style w:type="character" w:customStyle="1" w:styleId="60">
    <w:name w:val="time"/>
    <w:basedOn w:val="22"/>
    <w:qFormat/>
    <w:uiPriority w:val="0"/>
    <w:rPr>
      <w:sz w:val="16"/>
      <w:szCs w:val="16"/>
    </w:rPr>
  </w:style>
  <w:style w:type="character" w:customStyle="1" w:styleId="61">
    <w:name w:val="warning"/>
    <w:basedOn w:val="22"/>
    <w:qFormat/>
    <w:uiPriority w:val="0"/>
    <w:rPr>
      <w:color w:val="E60012"/>
      <w:sz w:val="14"/>
      <w:szCs w:val="14"/>
    </w:rPr>
  </w:style>
  <w:style w:type="character" w:customStyle="1" w:styleId="62">
    <w:name w:val="label"/>
    <w:basedOn w:val="22"/>
    <w:qFormat/>
    <w:uiPriority w:val="0"/>
    <w:rPr>
      <w:sz w:val="21"/>
      <w:szCs w:val="21"/>
    </w:rPr>
  </w:style>
  <w:style w:type="character" w:customStyle="1" w:styleId="63">
    <w:name w:val="label1"/>
    <w:basedOn w:val="22"/>
    <w:qFormat/>
    <w:uiPriority w:val="0"/>
    <w:rPr>
      <w:color w:val="000000"/>
      <w:sz w:val="21"/>
      <w:szCs w:val="21"/>
    </w:rPr>
  </w:style>
  <w:style w:type="character" w:customStyle="1" w:styleId="64">
    <w:name w:val="label-text2"/>
    <w:basedOn w:val="22"/>
    <w:qFormat/>
    <w:uiPriority w:val="0"/>
    <w:rPr>
      <w:color w:val="8A8383"/>
    </w:rPr>
  </w:style>
  <w:style w:type="character" w:customStyle="1" w:styleId="65">
    <w:name w:val="paging-omit"/>
    <w:basedOn w:val="22"/>
    <w:qFormat/>
    <w:uiPriority w:val="0"/>
    <w:rPr>
      <w:shd w:val="clear" w:fill="E1E1E1"/>
    </w:rPr>
  </w:style>
  <w:style w:type="character" w:customStyle="1" w:styleId="66">
    <w:name w:val="focus2"/>
    <w:basedOn w:val="22"/>
    <w:qFormat/>
    <w:uiPriority w:val="0"/>
    <w:rPr>
      <w:color w:val="23527C"/>
      <w:shd w:val="clear" w:fill="EEEEEE"/>
    </w:rPr>
  </w:style>
  <w:style w:type="character" w:customStyle="1" w:styleId="67">
    <w:name w:val="focus3"/>
    <w:basedOn w:val="22"/>
    <w:qFormat/>
    <w:uiPriority w:val="0"/>
    <w:rPr>
      <w:color w:val="777777"/>
      <w:shd w:val="clear" w:fill="FFFFFF"/>
    </w:rPr>
  </w:style>
  <w:style w:type="character" w:customStyle="1" w:styleId="68">
    <w:name w:val="hover10"/>
    <w:basedOn w:val="22"/>
    <w:qFormat/>
    <w:uiPriority w:val="0"/>
    <w:rPr>
      <w:color w:val="777777"/>
      <w:shd w:val="clear" w:fill="FFFFFF"/>
    </w:rPr>
  </w:style>
  <w:style w:type="character" w:customStyle="1" w:styleId="69">
    <w:name w:val="hover36"/>
    <w:basedOn w:val="22"/>
    <w:qFormat/>
    <w:uiPriority w:val="0"/>
    <w:rPr>
      <w:color w:val="49B79D"/>
    </w:rPr>
  </w:style>
  <w:style w:type="character" w:customStyle="1" w:styleId="70">
    <w:name w:val="credit_name_pad"/>
    <w:basedOn w:val="22"/>
    <w:qFormat/>
    <w:uiPriority w:val="0"/>
  </w:style>
  <w:style w:type="character" w:customStyle="1" w:styleId="71">
    <w:name w:val="nth-of-type(1)"/>
    <w:basedOn w:val="22"/>
    <w:qFormat/>
    <w:uiPriority w:val="0"/>
  </w:style>
  <w:style w:type="character" w:customStyle="1" w:styleId="72">
    <w:name w:val="nth-of-type(2)"/>
    <w:basedOn w:val="22"/>
    <w:qFormat/>
    <w:uiPriority w:val="0"/>
  </w:style>
  <w:style w:type="character" w:customStyle="1" w:styleId="73">
    <w:name w:val="nth-of-type(3)"/>
    <w:basedOn w:val="22"/>
    <w:qFormat/>
    <w:uiPriority w:val="0"/>
  </w:style>
  <w:style w:type="character" w:customStyle="1" w:styleId="74">
    <w:name w:val="first-child"/>
    <w:basedOn w:val="22"/>
    <w:qFormat/>
    <w:uiPriority w:val="0"/>
  </w:style>
  <w:style w:type="character" w:customStyle="1" w:styleId="75">
    <w:name w:val="ll"/>
    <w:basedOn w:val="22"/>
    <w:qFormat/>
    <w:uiPriority w:val="0"/>
    <w:rPr>
      <w:color w:val="2B2B2B"/>
    </w:rPr>
  </w:style>
  <w:style w:type="paragraph" w:customStyle="1" w:styleId="76">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2</TotalTime>
  <ScaleCrop>false</ScaleCrop>
  <LinksUpToDate>false</LinksUpToDate>
  <CharactersWithSpaces>27881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2021-07-23T08:20:00Z</cp:lastPrinted>
  <dcterms:modified xsi:type="dcterms:W3CDTF">2021-07-27T07:44:21Z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B9C7CF5E11074DFE89D0B170F23BA989</vt:lpwstr>
  </property>
</Properties>
</file>