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atLeast"/>
        <w:jc w:val="center"/>
        <w:rPr>
          <w:rFonts w:hint="eastAsia" w:ascii="华文新魏" w:eastAsia="华文新魏" w:cs="宋体"/>
          <w:b/>
          <w:bCs/>
          <w:kern w:val="0"/>
          <w:sz w:val="54"/>
          <w:szCs w:val="44"/>
        </w:rPr>
      </w:pPr>
      <w:r>
        <w:rPr>
          <w:rFonts w:hint="eastAsia"/>
          <w:lang w:eastAsia="zh-CN"/>
        </w:rPr>
        <w:t>附件一：</w:t>
      </w:r>
      <w:r>
        <w:rPr>
          <w:rFonts w:hint="eastAsia" w:ascii="华文新魏" w:hAnsi="宋体" w:eastAsia="华文新魏" w:cs="宋体"/>
          <w:b/>
          <w:kern w:val="0"/>
          <w:sz w:val="46"/>
          <w:szCs w:val="28"/>
        </w:rPr>
        <w:t>浙江华凯拍卖有限公司台州分公司</w:t>
      </w:r>
    </w:p>
    <w:p>
      <w:pPr>
        <w:spacing w:line="560" w:lineRule="atLeast"/>
        <w:jc w:val="center"/>
        <w:rPr>
          <w:rFonts w:hint="eastAsia" w:ascii="微软雅黑" w:hAnsi="微软雅黑" w:eastAsia="微软雅黑" w:cs="宋体"/>
          <w:b/>
          <w:bCs/>
          <w:kern w:val="0"/>
          <w:sz w:val="50"/>
          <w:szCs w:val="44"/>
        </w:rPr>
      </w:pPr>
      <w:bookmarkStart w:id="0" w:name="OLE_LINK1"/>
      <w:bookmarkStart w:id="1" w:name="OLE_LINK2"/>
      <w:r>
        <w:rPr>
          <w:rFonts w:hint="eastAsia" w:ascii="微软雅黑" w:hAnsi="微软雅黑" w:eastAsia="微软雅黑" w:cs="宋体"/>
          <w:b/>
          <w:bCs/>
          <w:kern w:val="0"/>
          <w:sz w:val="50"/>
          <w:szCs w:val="44"/>
        </w:rPr>
        <w:t>拍</w:t>
      </w:r>
      <w:r>
        <w:rPr>
          <w:rFonts w:ascii="微软雅黑" w:hAnsi="微软雅黑" w:eastAsia="微软雅黑" w:cs="宋体"/>
          <w:b/>
          <w:bCs/>
          <w:kern w:val="0"/>
          <w:sz w:val="50"/>
          <w:szCs w:val="44"/>
        </w:rPr>
        <w:t xml:space="preserve"> </w:t>
      </w:r>
      <w:r>
        <w:rPr>
          <w:rFonts w:hint="eastAsia" w:ascii="微软雅黑" w:hAnsi="微软雅黑" w:eastAsia="微软雅黑" w:cs="宋体"/>
          <w:b/>
          <w:bCs/>
          <w:kern w:val="0"/>
          <w:sz w:val="50"/>
          <w:szCs w:val="44"/>
        </w:rPr>
        <w:t>卖</w:t>
      </w:r>
      <w:r>
        <w:rPr>
          <w:rFonts w:ascii="微软雅黑" w:hAnsi="微软雅黑" w:eastAsia="微软雅黑" w:cs="宋体"/>
          <w:b/>
          <w:bCs/>
          <w:kern w:val="0"/>
          <w:sz w:val="50"/>
          <w:szCs w:val="44"/>
        </w:rPr>
        <w:t xml:space="preserve"> </w:t>
      </w:r>
      <w:r>
        <w:rPr>
          <w:rFonts w:hint="eastAsia" w:ascii="微软雅黑" w:hAnsi="微软雅黑" w:eastAsia="微软雅黑" w:cs="宋体"/>
          <w:b/>
          <w:bCs/>
          <w:kern w:val="0"/>
          <w:sz w:val="50"/>
          <w:szCs w:val="44"/>
        </w:rPr>
        <w:t>须</w:t>
      </w:r>
      <w:r>
        <w:rPr>
          <w:rFonts w:ascii="微软雅黑" w:hAnsi="微软雅黑" w:eastAsia="微软雅黑" w:cs="宋体"/>
          <w:b/>
          <w:bCs/>
          <w:kern w:val="0"/>
          <w:sz w:val="50"/>
          <w:szCs w:val="44"/>
        </w:rPr>
        <w:t xml:space="preserve"> </w:t>
      </w:r>
      <w:r>
        <w:rPr>
          <w:rFonts w:hint="eastAsia" w:ascii="微软雅黑" w:hAnsi="微软雅黑" w:eastAsia="微软雅黑" w:cs="宋体"/>
          <w:b/>
          <w:bCs/>
          <w:kern w:val="0"/>
          <w:sz w:val="50"/>
          <w:szCs w:val="44"/>
        </w:rPr>
        <w:t>知</w:t>
      </w:r>
      <w:bookmarkEnd w:id="0"/>
      <w:bookmarkEnd w:id="1"/>
    </w:p>
    <w:p>
      <w:pPr>
        <w:kinsoku w:val="0"/>
        <w:spacing w:line="240" w:lineRule="exact"/>
        <w:ind w:firstLine="482" w:firstLineChars="200"/>
        <w:jc w:val="left"/>
        <w:textAlignment w:val="baseline"/>
        <w:rPr>
          <w:rFonts w:hint="eastAsia" w:ascii="宋体" w:hAnsi="宋体" w:cs="宋体"/>
          <w:b/>
          <w:bCs/>
          <w:sz w:val="24"/>
        </w:rPr>
      </w:pPr>
    </w:p>
    <w:p>
      <w:pPr>
        <w:kinsoku w:val="0"/>
        <w:spacing w:line="520" w:lineRule="exact"/>
        <w:ind w:firstLine="600" w:firstLineChars="249"/>
        <w:jc w:val="left"/>
        <w:textAlignment w:val="baseline"/>
        <w:rPr>
          <w:rFonts w:ascii="宋体" w:hAnsi="宋体"/>
          <w:b/>
          <w:sz w:val="24"/>
        </w:rPr>
      </w:pPr>
      <w:r>
        <w:rPr>
          <w:rFonts w:hint="eastAsia" w:ascii="宋体" w:hAnsi="宋体" w:cs="宋体"/>
          <w:b/>
          <w:bCs/>
          <w:sz w:val="24"/>
        </w:rPr>
        <w:t>受</w:t>
      </w:r>
      <w:r>
        <w:rPr>
          <w:rFonts w:hint="eastAsia" w:ascii="宋体" w:hAnsi="宋体"/>
          <w:b/>
          <w:sz w:val="24"/>
        </w:rPr>
        <w:t>玉环市市场监督管理局</w:t>
      </w:r>
      <w:r>
        <w:rPr>
          <w:rFonts w:hint="eastAsia" w:ascii="宋体" w:hAnsi="宋体" w:cs="宋体"/>
          <w:b/>
          <w:bCs/>
          <w:sz w:val="24"/>
        </w:rPr>
        <w:t>委托</w:t>
      </w:r>
      <w:r>
        <w:rPr>
          <w:rFonts w:hint="eastAsia" w:ascii="宋体" w:hAnsi="宋体"/>
          <w:b/>
          <w:sz w:val="24"/>
        </w:rPr>
        <w:t>，定</w:t>
      </w:r>
      <w:r>
        <w:rPr>
          <w:rFonts w:hint="eastAsia" w:ascii="宋体" w:hAnsi="宋体" w:cs="宋体"/>
          <w:b/>
          <w:bCs/>
          <w:sz w:val="24"/>
        </w:rPr>
        <w:t>于2024年5月15日10时在玉城街道长治路</w:t>
      </w:r>
      <w:r>
        <w:rPr>
          <w:rFonts w:hint="eastAsia" w:ascii="宋体" w:hAnsi="宋体" w:cs="宋体"/>
          <w:b/>
          <w:kern w:val="0"/>
          <w:sz w:val="24"/>
        </w:rPr>
        <w:t>玉环市公共</w:t>
      </w:r>
      <w:r>
        <w:rPr>
          <w:rFonts w:hint="eastAsia" w:ascii="宋体" w:hAnsi="宋体"/>
          <w:b/>
          <w:sz w:val="24"/>
        </w:rPr>
        <w:t>资源交易中心二楼开标室（一）举办《玉环市市场监管局涉案处置物品拍卖会》向社会公开拍卖下述6个标的。为了维护参拍各方利益，维持拍卖秩序，使拍卖工作顺利进行，遵照“公开、公平、公正、价高者得”的原则，依据《中华人民共和国民法典》、《中华人民共和国拍卖法》有关规定，特制定本须知。</w:t>
      </w:r>
    </w:p>
    <w:p>
      <w:pPr>
        <w:spacing w:line="520" w:lineRule="exact"/>
        <w:ind w:firstLine="482" w:firstLineChars="200"/>
        <w:textAlignment w:val="baseline"/>
        <w:rPr>
          <w:rFonts w:hint="eastAsia" w:ascii="宋体" w:hAnsi="宋体"/>
          <w:b/>
          <w:sz w:val="24"/>
        </w:rPr>
      </w:pPr>
      <w:r>
        <w:rPr>
          <w:rFonts w:hint="eastAsia" w:ascii="宋体" w:hAnsi="宋体"/>
          <w:b/>
          <w:sz w:val="24"/>
        </w:rPr>
        <w:t xml:space="preserve">一、拍卖标的物、起拍价、保证金 </w:t>
      </w:r>
    </w:p>
    <w:p>
      <w:pPr>
        <w:spacing w:line="520" w:lineRule="exact"/>
        <w:ind w:firstLine="482" w:firstLineChars="200"/>
        <w:jc w:val="left"/>
        <w:rPr>
          <w:rFonts w:hint="eastAsia" w:ascii="宋体" w:hAnsi="宋体"/>
          <w:b/>
          <w:sz w:val="24"/>
        </w:rPr>
      </w:pPr>
      <w:r>
        <w:rPr>
          <w:rFonts w:hint="eastAsia" w:ascii="宋体" w:hAnsi="宋体"/>
          <w:b/>
          <w:sz w:val="24"/>
        </w:rPr>
        <w:t>1、废旧铜产品处理品，起拍价：人民币34000元/吨。竞买保证金：10万元。</w:t>
      </w:r>
    </w:p>
    <w:p>
      <w:pPr>
        <w:spacing w:line="520" w:lineRule="exact"/>
        <w:ind w:firstLine="482" w:firstLineChars="200"/>
        <w:jc w:val="left"/>
        <w:rPr>
          <w:rFonts w:hint="eastAsia" w:ascii="宋体" w:hAnsi="宋体"/>
          <w:b/>
          <w:sz w:val="24"/>
        </w:rPr>
      </w:pPr>
      <w:r>
        <w:rPr>
          <w:rFonts w:hint="eastAsia" w:ascii="宋体" w:hAnsi="宋体"/>
          <w:b/>
          <w:sz w:val="24"/>
        </w:rPr>
        <w:t>2、废旧铁产品处理品，起拍价：人民币1960元/吨。竞买保证金：1万元。</w:t>
      </w:r>
    </w:p>
    <w:p>
      <w:pPr>
        <w:spacing w:line="520" w:lineRule="exact"/>
        <w:ind w:firstLine="482" w:firstLineChars="200"/>
        <w:jc w:val="left"/>
        <w:rPr>
          <w:rFonts w:hint="eastAsia" w:ascii="宋体" w:hAnsi="宋体"/>
          <w:b/>
          <w:sz w:val="24"/>
        </w:rPr>
      </w:pPr>
      <w:r>
        <w:rPr>
          <w:rFonts w:hint="eastAsia" w:ascii="宋体" w:hAnsi="宋体"/>
          <w:b/>
          <w:sz w:val="24"/>
        </w:rPr>
        <w:t>3、废旧锌合金产品处理品，起拍价：人民币14620元/吨。竞买保证金：1万元。</w:t>
      </w:r>
    </w:p>
    <w:p>
      <w:pPr>
        <w:spacing w:line="520" w:lineRule="exact"/>
        <w:ind w:firstLine="482" w:firstLineChars="200"/>
        <w:jc w:val="left"/>
        <w:rPr>
          <w:rFonts w:hint="eastAsia" w:ascii="宋体" w:hAnsi="宋体"/>
          <w:b/>
          <w:sz w:val="24"/>
        </w:rPr>
      </w:pPr>
      <w:r>
        <w:rPr>
          <w:rFonts w:hint="eastAsia" w:ascii="宋体" w:hAnsi="宋体"/>
          <w:b/>
          <w:sz w:val="24"/>
        </w:rPr>
        <w:t>4、废旧铝产品处理品，起拍价：人民币11600元/吨。竞买保证金：1万元。　</w:t>
      </w:r>
    </w:p>
    <w:p>
      <w:pPr>
        <w:spacing w:line="520" w:lineRule="exact"/>
        <w:ind w:firstLine="482" w:firstLineChars="200"/>
        <w:jc w:val="left"/>
        <w:rPr>
          <w:rFonts w:hint="eastAsia" w:ascii="宋体" w:hAnsi="宋体"/>
          <w:b/>
          <w:sz w:val="24"/>
        </w:rPr>
      </w:pPr>
      <w:r>
        <w:rPr>
          <w:rFonts w:hint="eastAsia" w:ascii="宋体" w:hAnsi="宋体"/>
          <w:b/>
          <w:sz w:val="24"/>
        </w:rPr>
        <w:t>5、废旧不锈钢处理品，起拍价：人民币4000元/吨。竞买保证金：500元。</w:t>
      </w:r>
    </w:p>
    <w:p>
      <w:pPr>
        <w:spacing w:line="520" w:lineRule="exact"/>
        <w:ind w:firstLine="482" w:firstLineChars="200"/>
        <w:jc w:val="left"/>
        <w:rPr>
          <w:rFonts w:hint="eastAsia" w:ascii="宋体" w:hAnsi="宋体"/>
          <w:b/>
          <w:sz w:val="24"/>
        </w:rPr>
      </w:pPr>
      <w:r>
        <w:rPr>
          <w:rFonts w:hint="eastAsia" w:ascii="宋体" w:hAnsi="宋体"/>
          <w:b/>
          <w:sz w:val="24"/>
        </w:rPr>
        <w:t>6、金手镯、金戒指处理品，整体起拍价：人民币141600元。竞买保证金：5万元。</w:t>
      </w:r>
    </w:p>
    <w:p>
      <w:pPr>
        <w:adjustRightInd w:val="0"/>
        <w:snapToGrid w:val="0"/>
        <w:spacing w:line="520" w:lineRule="exact"/>
        <w:ind w:firstLine="482" w:firstLineChars="200"/>
        <w:jc w:val="left"/>
        <w:rPr>
          <w:rFonts w:hint="eastAsia" w:ascii="宋体" w:hAnsi="宋体" w:cs="宋体"/>
          <w:b/>
          <w:color w:val="FF0000"/>
          <w:kern w:val="0"/>
          <w:sz w:val="24"/>
        </w:rPr>
      </w:pPr>
      <w:r>
        <w:rPr>
          <w:rFonts w:hint="eastAsia" w:ascii="宋体" w:hAnsi="宋体"/>
          <w:b/>
          <w:sz w:val="24"/>
        </w:rPr>
        <w:t>以上罚没物品成品、半成品、毛坯等按各拍卖</w:t>
      </w:r>
      <w:r>
        <w:rPr>
          <w:rFonts w:hint="eastAsia" w:ascii="宋体" w:hAnsi="宋体" w:cs="宋体"/>
          <w:b/>
          <w:kern w:val="0"/>
          <w:sz w:val="24"/>
        </w:rPr>
        <w:t>标的整体捆绑拍卖，具体数量按现场实物过磅或清点为准，以上物品均按废旧物品处理。罚没物品中的混合材料各种成份所占比例，计算物品的折扣率和折算方法，以混合材料物品价值高的材料作为拍卖成交后现场交付拍卖标的物的依据。</w:t>
      </w:r>
    </w:p>
    <w:p>
      <w:pPr>
        <w:adjustRightInd w:val="0"/>
        <w:snapToGrid w:val="0"/>
        <w:spacing w:line="520" w:lineRule="exact"/>
        <w:ind w:firstLine="472" w:firstLineChars="196"/>
        <w:rPr>
          <w:rFonts w:hint="eastAsia" w:ascii="宋体" w:hAnsi="宋体"/>
          <w:b/>
          <w:sz w:val="24"/>
        </w:rPr>
      </w:pPr>
      <w:r>
        <w:rPr>
          <w:rFonts w:hint="eastAsia" w:ascii="宋体" w:hAnsi="宋体"/>
          <w:b/>
          <w:sz w:val="24"/>
        </w:rPr>
        <w:t>二、竞买资质及条件：竞买人须按拍卖公告要求在报名截止期前</w:t>
      </w:r>
      <w:r>
        <w:rPr>
          <w:rFonts w:hint="eastAsia" w:ascii="宋体" w:hAnsi="宋体" w:cs="宋体"/>
          <w:b/>
          <w:bCs/>
          <w:sz w:val="24"/>
        </w:rPr>
        <w:t>携带下列规定的有效证件及法人身份证、公章</w:t>
      </w:r>
      <w:r>
        <w:rPr>
          <w:rFonts w:hint="eastAsia" w:ascii="宋体" w:hAnsi="宋体"/>
          <w:b/>
          <w:sz w:val="24"/>
        </w:rPr>
        <w:t>到指定地点交纳保证金并办理报名登记手续，竞买人若委托他人代理，代理人须出示有效的授权委托书和代理人身份证。</w:t>
      </w:r>
    </w:p>
    <w:p>
      <w:pPr>
        <w:spacing w:line="520" w:lineRule="exact"/>
        <w:ind w:firstLine="560"/>
        <w:rPr>
          <w:rFonts w:hint="eastAsia" w:ascii="宋体" w:hAnsi="宋体"/>
          <w:b/>
          <w:sz w:val="24"/>
        </w:rPr>
      </w:pPr>
      <w:r>
        <w:rPr>
          <w:rFonts w:hint="eastAsia" w:ascii="宋体" w:hAnsi="宋体"/>
          <w:b/>
          <w:sz w:val="24"/>
        </w:rPr>
        <w:t>1、竞买</w:t>
      </w:r>
      <w:r>
        <w:rPr>
          <w:rFonts w:ascii="宋体" w:hAnsi="宋体"/>
          <w:b/>
          <w:sz w:val="24"/>
        </w:rPr>
        <w:t>1</w:t>
      </w:r>
      <w:r>
        <w:rPr>
          <w:rFonts w:hint="eastAsia" w:ascii="宋体" w:hAnsi="宋体"/>
          <w:b/>
          <w:sz w:val="24"/>
        </w:rPr>
        <w:t>号标的的竞买人，须持有市场监督管理局核发的具有溶炼铸造经营范围的营业执照及取得溶炼排污许可的玉环本市企业参加竞买。拍卖成功后，必须在玉环市市场监督管理局执法人员的监督下，在第一时间将拍卖标的物运往买受人的生产场所或买受人指定的企业进行回炉熔铸。</w:t>
      </w:r>
    </w:p>
    <w:p>
      <w:pPr>
        <w:adjustRightInd w:val="0"/>
        <w:snapToGrid w:val="0"/>
        <w:spacing w:line="520" w:lineRule="exact"/>
        <w:ind w:firstLine="482" w:firstLineChars="200"/>
        <w:jc w:val="left"/>
        <w:rPr>
          <w:rFonts w:hint="eastAsia" w:ascii="宋体" w:hAnsi="宋体"/>
          <w:b/>
          <w:sz w:val="24"/>
        </w:rPr>
      </w:pPr>
      <w:r>
        <w:rPr>
          <w:rFonts w:hint="eastAsia" w:ascii="宋体" w:hAnsi="宋体"/>
          <w:b/>
          <w:sz w:val="24"/>
        </w:rPr>
        <w:t>2、竞买2－5号标的的竞买人，须持有市场监督管理局核发的营业执照，具有经营废旧物资回收资格的台州市范围内的市场主体均可参加竞买。拍卖成功后，必须在玉环市市场监督管理局执法人员的监督下在罚没物品仓库内（或委托方指定地点）对标的物进行消除标识或破坏性拆解等程序后方可交付出库。如违规操作，造成的法律后果自负。</w:t>
      </w:r>
    </w:p>
    <w:p>
      <w:pPr>
        <w:widowControl/>
        <w:spacing w:line="520" w:lineRule="exact"/>
        <w:ind w:firstLine="482" w:firstLineChars="200"/>
        <w:jc w:val="left"/>
        <w:rPr>
          <w:rFonts w:hint="eastAsia" w:ascii="宋体" w:hAnsi="宋体"/>
          <w:b/>
          <w:sz w:val="24"/>
        </w:rPr>
      </w:pPr>
      <w:r>
        <w:rPr>
          <w:rFonts w:hint="eastAsia" w:ascii="宋体" w:hAnsi="宋体"/>
          <w:b/>
          <w:sz w:val="24"/>
        </w:rPr>
        <w:t>3、竞买6号标的的竞买人，须持有具有金银首饰加工营业执照的市场主体均可参加竞买，拍卖成功后买受人必须携带金银首饰打磨机（或溶解设备）到</w:t>
      </w:r>
      <w:r>
        <w:rPr>
          <w:rFonts w:hint="eastAsia" w:ascii="宋体" w:hAnsi="宋体" w:cs="宋体"/>
          <w:b/>
          <w:kern w:val="0"/>
          <w:sz w:val="24"/>
          <w:lang w:bidi="ar"/>
        </w:rPr>
        <w:t>甲方指定地点</w:t>
      </w:r>
      <w:r>
        <w:rPr>
          <w:rFonts w:hint="eastAsia" w:ascii="宋体" w:hAnsi="宋体" w:cs="宋体"/>
          <w:b/>
          <w:kern w:val="0"/>
          <w:sz w:val="24"/>
        </w:rPr>
        <w:t>在执法人员的监督下</w:t>
      </w:r>
      <w:r>
        <w:rPr>
          <w:rFonts w:hint="eastAsia" w:ascii="宋体" w:hAnsi="宋体" w:cs="宋体"/>
          <w:b/>
          <w:kern w:val="0"/>
          <w:sz w:val="24"/>
          <w:lang w:bidi="ar"/>
        </w:rPr>
        <w:t>将侵权标识消除。</w:t>
      </w:r>
      <w:r>
        <w:rPr>
          <w:rFonts w:hint="eastAsia" w:ascii="宋体" w:hAnsi="宋体"/>
          <w:b/>
          <w:sz w:val="24"/>
        </w:rPr>
        <w:t>如违规操作，造成的法律后果自负。</w:t>
      </w:r>
    </w:p>
    <w:p>
      <w:pPr>
        <w:kinsoku w:val="0"/>
        <w:spacing w:line="520" w:lineRule="exact"/>
        <w:ind w:firstLine="482" w:firstLineChars="200"/>
        <w:jc w:val="left"/>
        <w:textAlignment w:val="baseline"/>
        <w:rPr>
          <w:rFonts w:hint="eastAsia" w:ascii="宋体" w:hAnsi="宋体"/>
          <w:b/>
          <w:sz w:val="24"/>
        </w:rPr>
      </w:pPr>
      <w:r>
        <w:rPr>
          <w:rFonts w:hint="eastAsia" w:ascii="宋体" w:hAnsi="宋体"/>
          <w:b/>
          <w:sz w:val="24"/>
        </w:rPr>
        <w:t>三、每个拍卖标的报名人数如没有达到法律规定的竞买人数，在拍卖会开始前，拍卖师宣布中止（终止）该拍卖标的拍卖。本公司退还竞买人交纳的该拍卖标的保证金，不承担其他任何法律责任及经济赔偿责任。若受到损失由竞买人自负。</w:t>
      </w:r>
    </w:p>
    <w:p>
      <w:pPr>
        <w:spacing w:line="520" w:lineRule="exact"/>
        <w:ind w:firstLine="472" w:firstLineChars="196"/>
        <w:rPr>
          <w:rFonts w:hint="eastAsia" w:ascii="宋体" w:hAnsi="宋体"/>
          <w:b/>
          <w:sz w:val="24"/>
        </w:rPr>
      </w:pPr>
      <w:r>
        <w:rPr>
          <w:rFonts w:hint="eastAsia" w:ascii="宋体" w:hAnsi="宋体"/>
          <w:b/>
          <w:sz w:val="24"/>
        </w:rPr>
        <w:t>四、拍卖之日，竞买人应提前20分钟到拍卖会场领号牌处领取竞价号牌进入拍卖会场参加竞拍。竞买人报名后，未在规定的时间、地点按时参加或不按时进场竞买，视作自动放弃。</w:t>
      </w:r>
    </w:p>
    <w:p>
      <w:pPr>
        <w:spacing w:line="520" w:lineRule="exact"/>
        <w:ind w:firstLine="472" w:firstLineChars="196"/>
        <w:rPr>
          <w:rFonts w:hint="eastAsia" w:ascii="宋体" w:hAnsi="宋体"/>
          <w:b/>
          <w:sz w:val="24"/>
        </w:rPr>
      </w:pPr>
      <w:r>
        <w:rPr>
          <w:rFonts w:hint="eastAsia" w:ascii="宋体" w:hAnsi="宋体"/>
          <w:b/>
          <w:sz w:val="24"/>
        </w:rPr>
        <w:t>五、竞买人持竞价号牌进场就座，号牌代表了竞买人的资格，应妥善保管,不管何人举牌，均视为持有该号牌竞买人的竞买行为。竞买人退场时请将号牌交还工作人员。</w:t>
      </w:r>
    </w:p>
    <w:p>
      <w:pPr>
        <w:adjustRightInd w:val="0"/>
        <w:snapToGrid w:val="0"/>
        <w:spacing w:line="520" w:lineRule="exact"/>
        <w:ind w:firstLine="472" w:firstLineChars="196"/>
        <w:rPr>
          <w:rFonts w:hint="eastAsia" w:ascii="宋体" w:hAnsi="宋体"/>
          <w:b/>
          <w:sz w:val="24"/>
        </w:rPr>
      </w:pPr>
      <w:r>
        <w:rPr>
          <w:rFonts w:hint="eastAsia" w:ascii="宋体" w:hAnsi="宋体"/>
          <w:b/>
          <w:sz w:val="24"/>
        </w:rPr>
        <w:t>六、本次拍卖采用增价竞买的方式，以起拍价为基数，加价竞投，拍卖师未落槌前，竞买人有权继续竞价。最高应价在报价三次仍无人举牌应价时，拍卖师以击槌的方式宣布最高应价者成交。买受人必须与拍卖人当场签订《拍卖成交确认书》，三天内付清拍卖预付款。《拍卖成交确认书》对拍卖人和买受人具有合同效力。</w:t>
      </w:r>
    </w:p>
    <w:p>
      <w:pPr>
        <w:kinsoku w:val="0"/>
        <w:spacing w:line="520" w:lineRule="exact"/>
        <w:ind w:firstLine="482" w:firstLineChars="200"/>
        <w:jc w:val="left"/>
        <w:textAlignment w:val="baseline"/>
        <w:rPr>
          <w:rFonts w:hint="eastAsia" w:ascii="宋体" w:hAnsi="宋体"/>
          <w:b/>
          <w:sz w:val="24"/>
        </w:rPr>
      </w:pPr>
      <w:r>
        <w:rPr>
          <w:rFonts w:hint="eastAsia" w:ascii="宋体" w:hAnsi="宋体"/>
          <w:b/>
          <w:sz w:val="24"/>
        </w:rPr>
        <w:t>七、竞买人进入拍卖会场后必须遵守会场秩序，不得阻挠其它竞买人叫价竞拍，对在拍卖过程中操纵、垄断竞拍价格及无理取闹、扰乱拍卖会秩序的，拍卖人有权取消其竞买资格也可清退出场，并按有关规定追究其应负的法律责任，同时该竞买人无权请求退回保证金。</w:t>
      </w:r>
    </w:p>
    <w:p>
      <w:pPr>
        <w:spacing w:line="520" w:lineRule="exact"/>
        <w:ind w:firstLine="482" w:firstLineChars="200"/>
        <w:textAlignment w:val="baseline"/>
        <w:rPr>
          <w:rFonts w:hint="eastAsia" w:ascii="宋体" w:hAnsi="宋体"/>
          <w:b/>
          <w:sz w:val="24"/>
        </w:rPr>
      </w:pPr>
      <w:r>
        <w:rPr>
          <w:rFonts w:hint="eastAsia" w:ascii="宋体" w:hAnsi="宋体"/>
          <w:b/>
          <w:sz w:val="24"/>
        </w:rPr>
        <w:t>八、拍卖成交款的交付、结算，保证金、佣金结算方法</w:t>
      </w:r>
    </w:p>
    <w:p>
      <w:pPr>
        <w:spacing w:line="520" w:lineRule="exact"/>
        <w:ind w:firstLine="482" w:firstLineChars="200"/>
        <w:textAlignment w:val="baseline"/>
        <w:rPr>
          <w:rFonts w:hint="eastAsia" w:ascii="宋体" w:hAnsi="宋体"/>
          <w:b/>
          <w:sz w:val="24"/>
        </w:rPr>
      </w:pPr>
      <w:r>
        <w:rPr>
          <w:rFonts w:hint="eastAsia" w:ascii="宋体" w:hAnsi="宋体"/>
          <w:b/>
          <w:sz w:val="24"/>
        </w:rPr>
        <w:t>1、预付款支付方式：</w:t>
      </w:r>
      <w:r>
        <w:rPr>
          <w:rFonts w:ascii="宋体" w:hAnsi="宋体"/>
          <w:b/>
          <w:sz w:val="24"/>
        </w:rPr>
        <w:t>1</w:t>
      </w:r>
      <w:r>
        <w:rPr>
          <w:rFonts w:hint="eastAsia" w:ascii="宋体" w:hAnsi="宋体"/>
          <w:b/>
          <w:sz w:val="24"/>
        </w:rPr>
        <w:t>号标的先预付人民币20万元；2号标的预付人民币2万元；3号标的预交付人民币2万元；4号标的预付人民币2万元；5号标的预付人民币1000元；6号标的预付人民币15万元。</w:t>
      </w:r>
    </w:p>
    <w:p>
      <w:pPr>
        <w:spacing w:line="520" w:lineRule="exact"/>
        <w:ind w:firstLine="482" w:firstLineChars="200"/>
        <w:textAlignment w:val="baseline"/>
        <w:rPr>
          <w:rFonts w:hint="eastAsia" w:ascii="宋体" w:hAnsi="宋体"/>
          <w:b/>
          <w:sz w:val="24"/>
        </w:rPr>
      </w:pPr>
      <w:r>
        <w:rPr>
          <w:rFonts w:hint="eastAsia" w:ascii="宋体" w:hAnsi="宋体"/>
          <w:b/>
          <w:sz w:val="24"/>
        </w:rPr>
        <w:t>2、</w:t>
      </w:r>
      <w:r>
        <w:rPr>
          <w:rFonts w:ascii="宋体" w:hAnsi="宋体"/>
          <w:b/>
          <w:sz w:val="24"/>
        </w:rPr>
        <w:t>1</w:t>
      </w:r>
      <w:r>
        <w:rPr>
          <w:rFonts w:hint="eastAsia" w:ascii="宋体" w:hAnsi="宋体"/>
          <w:b/>
          <w:sz w:val="24"/>
        </w:rPr>
        <w:t>号标的在消除标识或直接回炉熔铸过磅后，在重量（数量）提取数结算金额接近20万元预付款时，买受人必须支付下一轮20万元预付款后方可再提取标的物，以此类推。</w:t>
      </w:r>
    </w:p>
    <w:p>
      <w:pPr>
        <w:spacing w:line="520" w:lineRule="exact"/>
        <w:ind w:firstLine="482" w:firstLineChars="200"/>
        <w:textAlignment w:val="baseline"/>
        <w:rPr>
          <w:rFonts w:hint="eastAsia" w:ascii="宋体" w:hAnsi="宋体"/>
          <w:b/>
          <w:sz w:val="24"/>
        </w:rPr>
      </w:pPr>
      <w:r>
        <w:rPr>
          <w:rFonts w:hint="eastAsia" w:ascii="宋体" w:hAnsi="宋体"/>
          <w:b/>
          <w:sz w:val="24"/>
        </w:rPr>
        <w:t>3、全部标的预付款必须在七天内付清，在拍卖标的提取完毕后计算实际成交额，采用多退少补的方式进行结算。</w:t>
      </w:r>
    </w:p>
    <w:p>
      <w:pPr>
        <w:spacing w:line="520" w:lineRule="exact"/>
        <w:ind w:firstLine="482" w:firstLineChars="200"/>
        <w:textAlignment w:val="baseline"/>
        <w:rPr>
          <w:rFonts w:hint="eastAsia" w:ascii="宋体" w:hAnsi="宋体"/>
          <w:b/>
          <w:sz w:val="24"/>
        </w:rPr>
      </w:pPr>
      <w:r>
        <w:rPr>
          <w:rFonts w:hint="eastAsia" w:ascii="宋体" w:hAnsi="宋体"/>
          <w:b/>
          <w:sz w:val="24"/>
        </w:rPr>
        <w:t>4、具体计算方式：总成交额</w:t>
      </w:r>
      <w:r>
        <w:rPr>
          <w:rFonts w:ascii="宋体" w:hAnsi="宋体"/>
          <w:b/>
          <w:sz w:val="24"/>
        </w:rPr>
        <w:t>=</w:t>
      </w:r>
      <w:r>
        <w:rPr>
          <w:rFonts w:hint="eastAsia" w:ascii="宋体" w:hAnsi="宋体"/>
          <w:b/>
          <w:sz w:val="24"/>
        </w:rPr>
        <w:t>拍卖成交单价×实际数量×折扣率。（6号标的除外。）</w:t>
      </w:r>
    </w:p>
    <w:p>
      <w:pPr>
        <w:spacing w:line="520" w:lineRule="exact"/>
        <w:ind w:firstLine="482" w:firstLineChars="200"/>
        <w:textAlignment w:val="baseline"/>
        <w:rPr>
          <w:rFonts w:hint="eastAsia" w:ascii="宋体" w:hAnsi="宋体"/>
          <w:b/>
          <w:sz w:val="24"/>
        </w:rPr>
      </w:pPr>
      <w:r>
        <w:rPr>
          <w:rFonts w:hint="eastAsia" w:ascii="宋体" w:hAnsi="宋体"/>
          <w:b/>
          <w:sz w:val="24"/>
        </w:rPr>
        <w:t>5、拍卖保证金不充抵成交款，保证金在该成交标的全部结算完毕后再退还，不计利息。</w:t>
      </w:r>
    </w:p>
    <w:p>
      <w:pPr>
        <w:kinsoku w:val="0"/>
        <w:spacing w:line="520" w:lineRule="exact"/>
        <w:ind w:firstLine="482" w:firstLineChars="200"/>
        <w:jc w:val="left"/>
        <w:textAlignment w:val="baseline"/>
        <w:rPr>
          <w:rFonts w:hint="eastAsia" w:ascii="宋体" w:hAnsi="宋体"/>
          <w:b/>
          <w:sz w:val="24"/>
        </w:rPr>
      </w:pPr>
      <w:r>
        <w:rPr>
          <w:rFonts w:hint="eastAsia" w:ascii="宋体" w:hAnsi="宋体"/>
          <w:b/>
          <w:sz w:val="24"/>
        </w:rPr>
        <w:t>6、拍卖标的交割完毕后，买受人按拍卖标的成交总额支付5</w:t>
      </w:r>
      <w:r>
        <w:rPr>
          <w:rFonts w:ascii="宋体" w:hAnsi="宋体"/>
          <w:b/>
          <w:sz w:val="24"/>
        </w:rPr>
        <w:t>%</w:t>
      </w:r>
      <w:r>
        <w:rPr>
          <w:rFonts w:hint="eastAsia" w:ascii="宋体" w:hAnsi="宋体"/>
          <w:b/>
          <w:sz w:val="24"/>
        </w:rPr>
        <w:t>的拍卖佣金（可在拍卖保证金中扣除）。</w:t>
      </w:r>
    </w:p>
    <w:p>
      <w:pPr>
        <w:kinsoku w:val="0"/>
        <w:spacing w:line="520" w:lineRule="exact"/>
        <w:ind w:firstLine="482" w:firstLineChars="200"/>
        <w:jc w:val="left"/>
        <w:textAlignment w:val="baseline"/>
        <w:rPr>
          <w:rFonts w:ascii="宋体" w:hAnsi="宋体"/>
          <w:b/>
          <w:sz w:val="24"/>
        </w:rPr>
      </w:pPr>
      <w:r>
        <w:rPr>
          <w:rFonts w:hint="eastAsia" w:ascii="宋体" w:hAnsi="宋体"/>
          <w:b/>
          <w:sz w:val="24"/>
        </w:rPr>
        <w:t>九、买受人在拍卖成交后，拒签《拍卖成交确认书》或逾期不付清拍卖成交款、拍卖佣金的，除无权要求退还拍卖保证金外，并按《拍卖法》有关规定追究买受人的违约责任。</w:t>
      </w:r>
    </w:p>
    <w:p>
      <w:pPr>
        <w:kinsoku w:val="0"/>
        <w:spacing w:line="520" w:lineRule="exact"/>
        <w:ind w:firstLine="482" w:firstLineChars="200"/>
        <w:jc w:val="left"/>
        <w:textAlignment w:val="baseline"/>
        <w:rPr>
          <w:rFonts w:hint="eastAsia" w:ascii="宋体" w:hAnsi="宋体"/>
          <w:b/>
          <w:sz w:val="24"/>
        </w:rPr>
      </w:pPr>
      <w:r>
        <w:rPr>
          <w:rFonts w:hint="eastAsia" w:ascii="宋体" w:hAnsi="宋体"/>
          <w:b/>
          <w:sz w:val="24"/>
        </w:rPr>
        <w:t>十、如买受人在签订《拍卖成交确认书》后，未按上述第八条规定支付预付款或已支付预付款而拖延提取标的物（不消除标识）和拖延结算支付预付款（成交结算款）的，作违约论处。逾期付款则按拖欠款额</w:t>
      </w:r>
      <w:r>
        <w:rPr>
          <w:rFonts w:ascii="宋体" w:hAnsi="宋体"/>
          <w:b/>
          <w:sz w:val="24"/>
        </w:rPr>
        <w:t>10%</w:t>
      </w:r>
      <w:r>
        <w:rPr>
          <w:rFonts w:hint="eastAsia" w:ascii="宋体" w:hAnsi="宋体"/>
          <w:b/>
          <w:sz w:val="24"/>
        </w:rPr>
        <w:t>计算支付违约金。如果逾期一个月仍然不支付的，则视作买受人放弃成交标的物的买卖，作违约处理。拍卖人即可通知委托人对该项成交的拍卖标的再行拍卖，买受人应承担再行拍卖所产生的费用及拍卖公司的佣金，再行拍卖成交总金额低于原拍卖成交总金额的，其差价由违约的买受人补足。</w:t>
      </w:r>
    </w:p>
    <w:p>
      <w:pPr>
        <w:kinsoku w:val="0"/>
        <w:spacing w:line="520" w:lineRule="exact"/>
        <w:ind w:firstLine="472" w:firstLineChars="196"/>
        <w:jc w:val="left"/>
        <w:textAlignment w:val="baseline"/>
        <w:rPr>
          <w:rFonts w:ascii="宋体" w:hAnsi="宋体"/>
          <w:b/>
          <w:sz w:val="24"/>
        </w:rPr>
      </w:pPr>
      <w:r>
        <w:rPr>
          <w:rFonts w:hint="eastAsia" w:ascii="宋体" w:hAnsi="宋体"/>
          <w:b/>
          <w:sz w:val="24"/>
        </w:rPr>
        <w:t>十一、拍卖标的物的重量（数量）以实际过磅或清点为准。产品交付后，拍卖标的搬运、过磅、依法回炉、消除原产品标识等费用由买受人负责及支付。</w:t>
      </w:r>
    </w:p>
    <w:p>
      <w:pPr>
        <w:spacing w:line="520" w:lineRule="exact"/>
        <w:ind w:firstLine="472" w:firstLineChars="196"/>
        <w:rPr>
          <w:rFonts w:hint="eastAsia" w:ascii="宋体" w:hAnsi="宋体"/>
          <w:b/>
          <w:sz w:val="24"/>
        </w:rPr>
      </w:pPr>
      <w:r>
        <w:rPr>
          <w:rFonts w:hint="eastAsia" w:ascii="宋体" w:hAnsi="宋体"/>
          <w:b/>
          <w:sz w:val="24"/>
        </w:rPr>
        <w:t>十二、拍卖标的交付时间、方式：</w:t>
      </w:r>
    </w:p>
    <w:p>
      <w:pPr>
        <w:spacing w:line="520" w:lineRule="exact"/>
        <w:ind w:firstLine="472" w:firstLineChars="196"/>
        <w:rPr>
          <w:rFonts w:hint="eastAsia" w:ascii="宋体" w:hAnsi="宋体"/>
          <w:b/>
          <w:sz w:val="24"/>
        </w:rPr>
      </w:pPr>
      <w:r>
        <w:rPr>
          <w:rFonts w:hint="eastAsia" w:ascii="宋体" w:hAnsi="宋体"/>
          <w:b/>
          <w:sz w:val="24"/>
        </w:rPr>
        <w:t>买受人在付清拍卖成交预付款7天内凭交款凭证及《拍卖成交确认书》办理拍卖标的移交工作。具体移交工作由玉环市市场监督管理局负责，拍卖人协助。</w:t>
      </w:r>
    </w:p>
    <w:p>
      <w:pPr>
        <w:kinsoku w:val="0"/>
        <w:spacing w:line="520" w:lineRule="exact"/>
        <w:ind w:left="120" w:leftChars="57" w:firstLine="361" w:firstLineChars="150"/>
        <w:jc w:val="left"/>
        <w:textAlignment w:val="baseline"/>
        <w:rPr>
          <w:rFonts w:ascii="宋体" w:hAnsi="宋体"/>
          <w:b/>
          <w:sz w:val="24"/>
        </w:rPr>
      </w:pPr>
      <w:r>
        <w:rPr>
          <w:rFonts w:hint="eastAsia" w:ascii="宋体" w:hAnsi="宋体"/>
          <w:b/>
          <w:sz w:val="24"/>
        </w:rPr>
        <w:t>十三、本次拍卖标的系玉环市市场监督管理局没收的涉案产品，拍卖人仅就本次拍卖标的价格进行确认。本次拍卖标的分别存放在各标的物仓库内、存放地点较分散，买受不得因故拒绝提取。本次拍卖标的按标的物现状拍卖，委托人和拍卖人都对本次拍卖标的质量、状态不作任何保证，对拍卖标的物不承担瑕疵担保责任，具体以现场展示的实物现状为准。</w:t>
      </w:r>
      <w:r>
        <w:rPr>
          <w:rFonts w:hint="eastAsia" w:ascii="宋体" w:hAnsi="宋体"/>
          <w:b/>
          <w:sz w:val="24"/>
        </w:rPr>
        <w:tab/>
      </w:r>
    </w:p>
    <w:p>
      <w:pPr>
        <w:kinsoku w:val="0"/>
        <w:spacing w:line="520" w:lineRule="exact"/>
        <w:ind w:firstLine="482" w:firstLineChars="200"/>
        <w:jc w:val="left"/>
        <w:textAlignment w:val="baseline"/>
        <w:rPr>
          <w:rFonts w:hint="eastAsia" w:ascii="宋体" w:hAnsi="宋体"/>
          <w:b/>
          <w:sz w:val="24"/>
        </w:rPr>
      </w:pPr>
      <w:r>
        <w:rPr>
          <w:rFonts w:hint="eastAsia" w:ascii="宋体" w:hAnsi="宋体"/>
          <w:b/>
          <w:sz w:val="24"/>
        </w:rPr>
        <w:t>十四、</w:t>
      </w:r>
      <w:r>
        <w:rPr>
          <w:rFonts w:hint="eastAsia" w:ascii="宋体" w:hAnsi="宋体"/>
          <w:b/>
          <w:spacing w:val="4"/>
          <w:kern w:val="0"/>
          <w:sz w:val="24"/>
          <w:fitText w:val="8433" w:id="1410487245"/>
        </w:rPr>
        <w:t>竞买人在竞拍前务必细致观察并充分了解拍卖标的详细情况，慎重决定竞买行</w:t>
      </w:r>
      <w:r>
        <w:rPr>
          <w:rFonts w:hint="eastAsia" w:ascii="宋体" w:hAnsi="宋体"/>
          <w:b/>
          <w:sz w:val="24"/>
        </w:rPr>
        <w:t>　　为，一旦作出竞买决定，即表明其已了解清楚并愿意接受拍卖标的现状及有关瑕疵（缺陷）。愿意履行和承担本须知规定的法律义务。</w:t>
      </w:r>
    </w:p>
    <w:p>
      <w:pPr>
        <w:kinsoku w:val="0"/>
        <w:spacing w:line="520" w:lineRule="exact"/>
        <w:ind w:firstLine="482" w:firstLineChars="200"/>
        <w:jc w:val="left"/>
        <w:textAlignment w:val="baseline"/>
        <w:rPr>
          <w:rFonts w:hint="eastAsia" w:ascii="宋体" w:hAnsi="宋体"/>
          <w:b/>
          <w:sz w:val="24"/>
        </w:rPr>
      </w:pPr>
      <w:r>
        <w:rPr>
          <w:rFonts w:hint="eastAsia" w:ascii="宋体" w:hAnsi="宋体"/>
          <w:b/>
          <w:sz w:val="24"/>
        </w:rPr>
        <w:t>十五、其他未尽事宜当场在拍卖会上宣布。</w:t>
      </w:r>
    </w:p>
    <w:p>
      <w:pPr>
        <w:spacing w:line="540" w:lineRule="exact"/>
        <w:ind w:firstLine="482" w:firstLineChars="200"/>
        <w:rPr>
          <w:rFonts w:hint="eastAsia" w:ascii="华文新魏" w:hAnsi="宋体" w:eastAsia="华文新魏" w:cs="宋体"/>
          <w:b/>
          <w:kern w:val="0"/>
          <w:sz w:val="36"/>
          <w:szCs w:val="28"/>
        </w:rPr>
      </w:pPr>
      <w:r>
        <w:rPr>
          <w:rFonts w:hint="eastAsia" w:ascii="宋体" w:hAnsi="宋体"/>
          <w:b/>
          <w:sz w:val="24"/>
        </w:rPr>
        <w:t>联系电话：13326013188 　 0576-87220052　</w:t>
      </w:r>
      <w:r>
        <w:rPr>
          <w:rFonts w:hint="eastAsia" w:ascii="宋体" w:hAnsi="宋体" w:cs="宋体"/>
          <w:b/>
          <w:kern w:val="0"/>
          <w:sz w:val="22"/>
          <w:szCs w:val="22"/>
        </w:rPr>
        <w:t>　</w:t>
      </w:r>
      <w:r>
        <w:rPr>
          <w:rFonts w:hint="eastAsia" w:ascii="华文新魏" w:hAnsi="宋体" w:eastAsia="华文新魏" w:cs="宋体"/>
          <w:b/>
          <w:kern w:val="0"/>
          <w:sz w:val="36"/>
          <w:szCs w:val="28"/>
        </w:rPr>
        <w:t>　　　　　　　　　</w:t>
      </w:r>
    </w:p>
    <w:p>
      <w:pPr>
        <w:spacing w:line="400" w:lineRule="exact"/>
        <w:ind w:firstLine="721" w:firstLineChars="200"/>
        <w:jc w:val="center"/>
        <w:rPr>
          <w:rFonts w:hint="eastAsia" w:ascii="华文新魏" w:hAnsi="宋体" w:eastAsia="华文新魏" w:cs="宋体"/>
          <w:b/>
          <w:kern w:val="0"/>
          <w:sz w:val="36"/>
          <w:szCs w:val="28"/>
        </w:rPr>
      </w:pPr>
    </w:p>
    <w:p>
      <w:pPr>
        <w:spacing w:line="720" w:lineRule="exact"/>
        <w:ind w:firstLine="721" w:firstLineChars="200"/>
        <w:jc w:val="center"/>
        <w:rPr>
          <w:rFonts w:hint="eastAsia" w:ascii="华文新魏" w:hAnsi="宋体" w:eastAsia="华文新魏" w:cs="宋体"/>
          <w:b/>
          <w:bCs/>
          <w:kern w:val="0"/>
          <w:sz w:val="32"/>
          <w:szCs w:val="28"/>
        </w:rPr>
      </w:pPr>
      <w:r>
        <w:rPr>
          <w:rFonts w:hint="eastAsia" w:ascii="华文新魏" w:hAnsi="宋体" w:eastAsia="华文新魏" w:cs="宋体"/>
          <w:b/>
          <w:kern w:val="0"/>
          <w:sz w:val="36"/>
          <w:szCs w:val="28"/>
        </w:rPr>
        <w:t xml:space="preserve">　　               </w:t>
      </w:r>
      <w:r>
        <w:rPr>
          <w:rFonts w:hint="eastAsia" w:ascii="华文新魏" w:hAnsi="宋体" w:eastAsia="华文新魏" w:cs="宋体"/>
          <w:b/>
          <w:kern w:val="0"/>
          <w:sz w:val="40"/>
          <w:szCs w:val="28"/>
        </w:rPr>
        <w:t xml:space="preserve"> </w:t>
      </w:r>
      <w:r>
        <w:rPr>
          <w:rFonts w:hint="eastAsia" w:ascii="华文新魏" w:hAnsi="宋体" w:eastAsia="华文新魏" w:cs="宋体"/>
          <w:b/>
          <w:kern w:val="0"/>
          <w:sz w:val="32"/>
          <w:szCs w:val="28"/>
        </w:rPr>
        <w:t>浙江华凯拍卖有限公司台州分公司</w:t>
      </w:r>
    </w:p>
    <w:p>
      <w:pPr>
        <w:rPr>
          <w:rFonts w:hint="eastAsia" w:ascii="华文新魏" w:hAnsi="宋体" w:eastAsia="华文新魏"/>
          <w:b/>
          <w:sz w:val="32"/>
          <w:szCs w:val="28"/>
        </w:rPr>
        <w:sectPr>
          <w:pgSz w:w="11906" w:h="16838"/>
          <w:pgMar w:top="1440" w:right="1800" w:bottom="1440" w:left="1800" w:header="851" w:footer="992" w:gutter="0"/>
          <w:cols w:space="425" w:num="1"/>
          <w:docGrid w:type="lines" w:linePitch="312" w:charSpace="0"/>
        </w:sectPr>
      </w:pPr>
      <w:r>
        <w:rPr>
          <w:rFonts w:hint="eastAsia" w:ascii="华文新魏" w:hAnsi="宋体" w:eastAsia="华文新魏"/>
          <w:b/>
          <w:sz w:val="32"/>
          <w:szCs w:val="28"/>
        </w:rPr>
        <w:t xml:space="preserve">                                   二○二四年四月二十四日　</w:t>
      </w:r>
    </w:p>
    <w:p>
      <w:pPr>
        <w:widowControl/>
        <w:tabs>
          <w:tab w:val="left" w:pos="385"/>
          <w:tab w:val="left" w:pos="5505"/>
        </w:tabs>
        <w:textAlignment w:val="center"/>
        <w:rPr>
          <w:rFonts w:hint="eastAsia" w:ascii="宋体" w:hAnsi="宋体" w:cs="宋体"/>
          <w:b/>
          <w:bCs/>
          <w:color w:val="000000"/>
          <w:sz w:val="28"/>
          <w:szCs w:val="28"/>
        </w:rPr>
      </w:pPr>
      <w:r>
        <w:rPr>
          <w:rFonts w:hint="eastAsia" w:ascii="华文新魏" w:hAnsi="宋体" w:eastAsia="华文新魏"/>
          <w:b/>
          <w:sz w:val="32"/>
          <w:szCs w:val="28"/>
          <w:lang w:eastAsia="zh-CN"/>
        </w:rPr>
        <w:t>附件二：</w:t>
      </w:r>
      <w:r>
        <w:rPr>
          <w:rFonts w:hint="eastAsia" w:ascii="宋体" w:hAnsi="宋体" w:cs="宋体"/>
          <w:color w:val="000000"/>
          <w:sz w:val="20"/>
          <w:szCs w:val="20"/>
        </w:rPr>
        <w:tab/>
      </w:r>
      <w:r>
        <w:rPr>
          <w:rFonts w:hint="eastAsia" w:ascii="宋体" w:hAnsi="宋体" w:cs="宋体"/>
          <w:color w:val="000000"/>
          <w:sz w:val="20"/>
          <w:szCs w:val="20"/>
        </w:rPr>
        <w:t>　　　　　　　　　　　</w:t>
      </w:r>
      <w:r>
        <w:rPr>
          <w:rFonts w:hint="eastAsia" w:ascii="宋体" w:hAnsi="宋体" w:cs="宋体"/>
          <w:b/>
          <w:bCs/>
          <w:color w:val="000000"/>
          <w:kern w:val="0"/>
          <w:sz w:val="28"/>
          <w:szCs w:val="28"/>
          <w:lang w:bidi="ar"/>
        </w:rPr>
        <w:t>玉环市场监管局涉案罚没物品拍卖清单　 　 　</w:t>
      </w:r>
      <w:r>
        <w:rPr>
          <w:rStyle w:val="4"/>
          <w:rFonts w:hint="default"/>
          <w:lang w:bidi="ar"/>
        </w:rPr>
        <w:t>2024.04.02</w:t>
      </w:r>
    </w:p>
    <w:tbl>
      <w:tblPr>
        <w:tblStyle w:val="2"/>
        <w:tblW w:w="9948" w:type="dxa"/>
        <w:tblInd w:w="96" w:type="dxa"/>
        <w:tblLayout w:type="fixed"/>
        <w:tblCellMar>
          <w:top w:w="0" w:type="dxa"/>
          <w:left w:w="108" w:type="dxa"/>
          <w:bottom w:w="0" w:type="dxa"/>
          <w:right w:w="108" w:type="dxa"/>
        </w:tblCellMar>
      </w:tblPr>
      <w:tblGrid>
        <w:gridCol w:w="750"/>
        <w:gridCol w:w="831"/>
        <w:gridCol w:w="2880"/>
        <w:gridCol w:w="746"/>
        <w:gridCol w:w="763"/>
        <w:gridCol w:w="1328"/>
        <w:gridCol w:w="797"/>
        <w:gridCol w:w="823"/>
        <w:gridCol w:w="1030"/>
      </w:tblGrid>
      <w:tr>
        <w:tblPrEx>
          <w:tblCellMar>
            <w:top w:w="0" w:type="dxa"/>
            <w:left w:w="108" w:type="dxa"/>
            <w:bottom w:w="0" w:type="dxa"/>
            <w:right w:w="108" w:type="dxa"/>
          </w:tblCellMar>
        </w:tblPrEx>
        <w:trPr>
          <w:trHeight w:val="631"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序号</w:t>
            </w:r>
          </w:p>
        </w:tc>
        <w:tc>
          <w:tcPr>
            <w:tcW w:w="83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编号</w:t>
            </w:r>
          </w:p>
        </w:tc>
        <w:tc>
          <w:tcPr>
            <w:tcW w:w="2880" w:type="dxa"/>
            <w:tcBorders>
              <w:top w:val="single" w:color="000000" w:sz="4" w:space="0"/>
              <w:left w:val="single" w:color="000000" w:sz="4" w:space="0"/>
              <w:bottom w:val="single" w:color="000000" w:sz="4" w:space="0"/>
              <w:right w:val="single" w:color="000000" w:sz="4" w:space="0"/>
            </w:tcBorders>
            <w:noWrap/>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资产名称</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单位</w:t>
            </w:r>
          </w:p>
        </w:tc>
        <w:tc>
          <w:tcPr>
            <w:tcW w:w="76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数量</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物品种类       单体质地</w:t>
            </w:r>
          </w:p>
        </w:tc>
        <w:tc>
          <w:tcPr>
            <w:tcW w:w="79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只重   (kg)</w:t>
            </w:r>
          </w:p>
        </w:tc>
        <w:tc>
          <w:tcPr>
            <w:tcW w:w="82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折扣率</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物品存放 地点</w:t>
            </w:r>
          </w:p>
        </w:tc>
      </w:tr>
      <w:tr>
        <w:tblPrEx>
          <w:tblCellMar>
            <w:top w:w="0" w:type="dxa"/>
            <w:left w:w="108" w:type="dxa"/>
            <w:bottom w:w="0" w:type="dxa"/>
            <w:right w:w="108" w:type="dxa"/>
          </w:tblCellMar>
        </w:tblPrEx>
        <w:trPr>
          <w:trHeight w:val="483"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w:t>
            </w:r>
          </w:p>
        </w:tc>
        <w:tc>
          <w:tcPr>
            <w:tcW w:w="83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侵权汽车制动钳半成品</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750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铁</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3.04</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执法队</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w:t>
            </w:r>
          </w:p>
        </w:tc>
        <w:tc>
          <w:tcPr>
            <w:tcW w:w="8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侵权汽车制动钳支架半成品</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260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铁</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1.26</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w:t>
            </w:r>
          </w:p>
        </w:tc>
        <w:tc>
          <w:tcPr>
            <w:tcW w:w="8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侵权汽车制动钳半成品</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400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铝</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0.82</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w:t>
            </w:r>
          </w:p>
        </w:tc>
        <w:tc>
          <w:tcPr>
            <w:tcW w:w="83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汽车吊杆</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500</w:t>
            </w:r>
          </w:p>
        </w:tc>
        <w:tc>
          <w:tcPr>
            <w:tcW w:w="132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br w:type="textWrapping"/>
            </w:r>
            <w:r>
              <w:rPr>
                <w:rFonts w:hint="eastAsia" w:ascii="宋体" w:hAnsi="宋体" w:cs="宋体"/>
                <w:b/>
                <w:bCs/>
                <w:color w:val="000000"/>
                <w:kern w:val="0"/>
                <w:sz w:val="20"/>
                <w:szCs w:val="20"/>
                <w:lang w:bidi="ar"/>
              </w:rPr>
              <w:t>铁+塑料</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0.15</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执法队</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w:t>
            </w:r>
          </w:p>
        </w:tc>
        <w:tc>
          <w:tcPr>
            <w:tcW w:w="8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平行杆</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37</w:t>
            </w:r>
          </w:p>
        </w:tc>
        <w:tc>
          <w:tcPr>
            <w:tcW w:w="13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0.39</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93%</w:t>
            </w: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w:t>
            </w:r>
          </w:p>
        </w:tc>
        <w:tc>
          <w:tcPr>
            <w:tcW w:w="8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外球头</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24</w:t>
            </w:r>
          </w:p>
        </w:tc>
        <w:tc>
          <w:tcPr>
            <w:tcW w:w="13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0.89</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99%</w:t>
            </w: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汽车张紧器</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1530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铝</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0.56</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执法队</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8</w:t>
            </w:r>
          </w:p>
        </w:tc>
        <w:tc>
          <w:tcPr>
            <w:tcW w:w="83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汽车球头稳定杆</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653</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铁</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0.29</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执法队</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9</w:t>
            </w:r>
          </w:p>
        </w:tc>
        <w:tc>
          <w:tcPr>
            <w:tcW w:w="8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控制臂衬套</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4600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铝+橡胶</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0.08</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25%</w:t>
            </w: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w:t>
            </w:r>
          </w:p>
        </w:tc>
        <w:tc>
          <w:tcPr>
            <w:tcW w:w="83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汽车平行杆</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27</w:t>
            </w:r>
          </w:p>
        </w:tc>
        <w:tc>
          <w:tcPr>
            <w:tcW w:w="132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铝+铁+橡胶</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0.33</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56%</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执法队</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11</w:t>
            </w:r>
          </w:p>
        </w:tc>
        <w:tc>
          <w:tcPr>
            <w:tcW w:w="8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汽车转向球头</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720</w:t>
            </w:r>
          </w:p>
        </w:tc>
        <w:tc>
          <w:tcPr>
            <w:tcW w:w="132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铁+橡胶</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0.87</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99%</w:t>
            </w: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12</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球墨汽车轴半成品</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823</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铁</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2.00</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执法队</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13</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8</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消防阀门毛坯、半成品、成品</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159</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0.62</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执法队</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14</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燃油泵芯</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3900</w:t>
            </w:r>
          </w:p>
        </w:tc>
        <w:tc>
          <w:tcPr>
            <w:tcW w:w="1328"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铁+铜+塑料</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0.30</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执法队</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15</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11</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制冷压缩机成品</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台</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45.0</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执法队</w:t>
            </w:r>
          </w:p>
        </w:tc>
      </w:tr>
      <w:tr>
        <w:tblPrEx>
          <w:tblCellMar>
            <w:top w:w="0" w:type="dxa"/>
            <w:left w:w="108" w:type="dxa"/>
            <w:bottom w:w="0" w:type="dxa"/>
            <w:right w:w="108" w:type="dxa"/>
          </w:tblCellMar>
        </w:tblPrEx>
        <w:trPr>
          <w:trHeight w:val="475"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16</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12</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喷枪成品</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支</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1181</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锌+塑料</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0.20</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55%</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执法队</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17</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14</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油漆包装桶</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530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铁</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0.98</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执法队</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18</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15</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汽车离合器摩擦片</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片</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500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铁+其他</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1.22</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59%</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执法队</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19</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16</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电热执行器</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200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铜+塑料</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0.12</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12%</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执法队</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20</w:t>
            </w:r>
          </w:p>
        </w:tc>
        <w:tc>
          <w:tcPr>
            <w:tcW w:w="83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18</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汽车点火线圈成品</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400</w:t>
            </w:r>
          </w:p>
        </w:tc>
        <w:tc>
          <w:tcPr>
            <w:tcW w:w="132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铜+塑料</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0.23</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17%</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执法队</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21</w:t>
            </w:r>
          </w:p>
        </w:tc>
        <w:tc>
          <w:tcPr>
            <w:tcW w:w="8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汽车点火线圈半成品</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900</w:t>
            </w:r>
          </w:p>
        </w:tc>
        <w:tc>
          <w:tcPr>
            <w:tcW w:w="13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0.07</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56%</w:t>
            </w: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22</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19</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汽车点火线圈成品</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310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铜+塑料</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0.23</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17%</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执法队</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23</w:t>
            </w:r>
          </w:p>
        </w:tc>
        <w:tc>
          <w:tcPr>
            <w:tcW w:w="83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20</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黄铜球阀</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2520</w:t>
            </w:r>
          </w:p>
        </w:tc>
        <w:tc>
          <w:tcPr>
            <w:tcW w:w="132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铜+铁</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0.26</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60%</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执法队</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24</w:t>
            </w:r>
          </w:p>
        </w:tc>
        <w:tc>
          <w:tcPr>
            <w:tcW w:w="8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PPR三通</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1440</w:t>
            </w:r>
          </w:p>
        </w:tc>
        <w:tc>
          <w:tcPr>
            <w:tcW w:w="13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0.44</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60%</w:t>
            </w: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25</w:t>
            </w:r>
          </w:p>
        </w:tc>
        <w:tc>
          <w:tcPr>
            <w:tcW w:w="8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磁性过锁</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1140</w:t>
            </w:r>
          </w:p>
        </w:tc>
        <w:tc>
          <w:tcPr>
            <w:tcW w:w="13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0.55</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74%</w:t>
            </w: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26</w:t>
            </w:r>
          </w:p>
        </w:tc>
        <w:tc>
          <w:tcPr>
            <w:tcW w:w="83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21</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828水嘴龙头</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3150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铜+铁</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0.215</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79%</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执法队</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27</w:t>
            </w:r>
          </w:p>
        </w:tc>
        <w:tc>
          <w:tcPr>
            <w:tcW w:w="8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手柄</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6000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铁</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0.35</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28</w:t>
            </w:r>
          </w:p>
        </w:tc>
        <w:tc>
          <w:tcPr>
            <w:tcW w:w="83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32</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立式止回阀</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1565</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铜+塑料</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0.30</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97%</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楚门分局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29</w:t>
            </w:r>
          </w:p>
        </w:tc>
        <w:tc>
          <w:tcPr>
            <w:tcW w:w="8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铜质角阀</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3040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0.05</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楚门分局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30</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33</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铜制三通阀门样品</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893</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0.62</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楚门分局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31</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34</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侵权铜接头（金属管接头）</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14831</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0.045</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楚门分局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32</w:t>
            </w:r>
          </w:p>
        </w:tc>
        <w:tc>
          <w:tcPr>
            <w:tcW w:w="83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35</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侵权球阀壳体配件</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500</w:t>
            </w:r>
          </w:p>
        </w:tc>
        <w:tc>
          <w:tcPr>
            <w:tcW w:w="1328"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0.20</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楚门分局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33</w:t>
            </w:r>
          </w:p>
        </w:tc>
        <w:tc>
          <w:tcPr>
            <w:tcW w:w="8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侵权球阀壳体配件</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700</w:t>
            </w:r>
          </w:p>
        </w:tc>
        <w:tc>
          <w:tcPr>
            <w:tcW w:w="13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0.20</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34</w:t>
            </w:r>
          </w:p>
        </w:tc>
        <w:tc>
          <w:tcPr>
            <w:tcW w:w="8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侵权球阀壳体配件</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1150</w:t>
            </w:r>
          </w:p>
        </w:tc>
        <w:tc>
          <w:tcPr>
            <w:tcW w:w="13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0.20</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35</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36</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铜阀体</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4976</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0.14</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楚门分局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36</w:t>
            </w:r>
          </w:p>
        </w:tc>
        <w:tc>
          <w:tcPr>
            <w:tcW w:w="83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37</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侵权YoRK止回阀</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2400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0.20</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楚门分局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37</w:t>
            </w:r>
          </w:p>
        </w:tc>
        <w:tc>
          <w:tcPr>
            <w:tcW w:w="8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侵权YoRK止回阀</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2400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铜+橡胶</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0.32</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97%</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楚门分局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38</w:t>
            </w:r>
          </w:p>
        </w:tc>
        <w:tc>
          <w:tcPr>
            <w:tcW w:w="8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侵权YoRK止回阀</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480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铜+橡胶</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0.55</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98%</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楚门分局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39</w:t>
            </w:r>
          </w:p>
        </w:tc>
        <w:tc>
          <w:tcPr>
            <w:tcW w:w="8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侵权YoRK止回阀</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3000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铜+橡胶</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0.16</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楚门分局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40</w:t>
            </w:r>
          </w:p>
        </w:tc>
        <w:tc>
          <w:tcPr>
            <w:tcW w:w="8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侵权全铜球阀</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3000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铜+铁</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0.16</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63%</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楚门分局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41</w:t>
            </w:r>
          </w:p>
        </w:tc>
        <w:tc>
          <w:tcPr>
            <w:tcW w:w="8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侵权全铜球阀</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4000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铜+铁</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0.23</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54%</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楚门分局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42</w:t>
            </w:r>
          </w:p>
        </w:tc>
        <w:tc>
          <w:tcPr>
            <w:tcW w:w="8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侵权全铜球阀</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240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铜+铁</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0.82</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77%</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楚门分局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43</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39</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水龙头（半成品）</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5442</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0.20</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楚门分局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44</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40</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1/2"水嘴</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345</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铜+铁</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0.22</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66%</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楚门分局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45</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41</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铜质"截止阀体"</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2407</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0.215</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楚门分局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46</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42</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黄铜球阀/水暖用螺纹　　　　连接阀门</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269</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铜+铁</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0.20</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72%</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坎门所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47</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43</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水暖用螺纹连接阀门</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238</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铜+铁+塑料</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0.13</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63%</w:t>
            </w: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48</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44</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汽车三角臂</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432</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铁+橡胶</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2.6</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86%</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坎门所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49</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46</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汽车拉杆球头</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1320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铁</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1.16</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坎门所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50</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47</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汽车轴承</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1200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铁+塑料</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0.15</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69%</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坎门所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51</w:t>
            </w:r>
          </w:p>
        </w:tc>
        <w:tc>
          <w:tcPr>
            <w:tcW w:w="831" w:type="dxa"/>
            <w:vMerge w:val="restart"/>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48</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bidi="ar"/>
              </w:rPr>
              <w:t>标注“DRT”标识的汽车配件</w:t>
            </w:r>
          </w:p>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衬套半成品</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350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铁+橡胶</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0.36</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39%</w:t>
            </w:r>
          </w:p>
        </w:tc>
        <w:tc>
          <w:tcPr>
            <w:tcW w:w="1030" w:type="dxa"/>
            <w:vMerge w:val="restart"/>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52</w:t>
            </w:r>
          </w:p>
        </w:tc>
        <w:tc>
          <w:tcPr>
            <w:tcW w:w="831"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bidi="ar"/>
              </w:rPr>
              <w:t>标识起亚图文标识的汽车</w:t>
            </w:r>
          </w:p>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减震器橡胶顶胶半成品</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300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铁+橡胶</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0.95</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40%</w:t>
            </w:r>
          </w:p>
        </w:tc>
        <w:tc>
          <w:tcPr>
            <w:tcW w:w="103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53</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49</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磁性锁闭阀</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156</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铜+铁</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0.22</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69%</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坎门所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54</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50</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汽车平衡杆</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1200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铁+橡胶</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1.00</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80%</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坎门所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55</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51</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球阀</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421</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铜+铁</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0.16</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65%</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坎门所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56</w:t>
            </w:r>
          </w:p>
        </w:tc>
        <w:tc>
          <w:tcPr>
            <w:tcW w:w="83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52</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水暖用螺纹连接阀门</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铜+铁</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0.43</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60%</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大麦屿所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57</w:t>
            </w:r>
          </w:p>
        </w:tc>
        <w:tc>
          <w:tcPr>
            <w:tcW w:w="8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水暖用螺纹连接阀门（闸阀）</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铜+铁</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1.43</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bidi="ar"/>
              </w:rPr>
              <w:t>85%</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大麦屿所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58</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53</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水暖用内螺纹连接阀门（闸阀）</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80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铜+铁</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0.44</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81%</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大麦屿所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59</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54</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水暖用内螺纹连接阀门</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台</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112</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铜+铁+塑料</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0.315</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80%</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大麦屿所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60</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55</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水暖用螺纹连接阀门</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铜+铁</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0.40</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65%</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大麦屿所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61</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56</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水暖用螺纹连接阀门</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铜+铁</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0.40</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84%</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大麦屿所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62</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57</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球阀产品</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铜+铁</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0.25</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66%</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大麦屿所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63</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58</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侵权手柄</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13941</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锌</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0.017</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清港所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64</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59</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半成品锌合金角阀</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13000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锌</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0.11</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清港所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65</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60</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侵权铜制角阀</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815</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铜+橡胶</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0.20</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60%</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清港所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66</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61</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侵权铜角阀</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10210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0.06</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清港所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67</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62</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球阀壳体</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12000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0.062</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清港所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68</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63</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侵权锌合金直阀</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3609</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锌</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0.06</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清港所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69</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64</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锌合金水嘴</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43478</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锌</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0.026</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清港所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70</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65</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不合格 300/500V电线电缆</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b/>
                <w:bCs/>
                <w:color w:val="000000"/>
                <w:sz w:val="20"/>
                <w:szCs w:val="20"/>
              </w:rPr>
            </w:pPr>
          </w:p>
        </w:tc>
        <w:tc>
          <w:tcPr>
            <w:tcW w:w="76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b/>
                <w:bCs/>
                <w:color w:val="000000"/>
                <w:sz w:val="20"/>
                <w:szCs w:val="20"/>
              </w:rPr>
            </w:pP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铜+橡胶</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0.02</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25%</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清港所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71</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66</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不合格热水咀</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9277</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铜+铁</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0.19</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85%</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清港所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72</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67</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涉案豪华全铜精品三角阀</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3397</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0.14</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清港所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73</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68</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安得快水嘴</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b/>
                <w:bCs/>
                <w:color w:val="000000"/>
                <w:sz w:val="20"/>
                <w:szCs w:val="20"/>
              </w:rPr>
            </w:pPr>
          </w:p>
        </w:tc>
        <w:tc>
          <w:tcPr>
            <w:tcW w:w="76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b/>
                <w:bCs/>
                <w:color w:val="000000"/>
                <w:sz w:val="20"/>
                <w:szCs w:val="20"/>
              </w:rPr>
            </w:pP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铜+锌+橡胶</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1.10</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57%</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清港所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74</w:t>
            </w:r>
          </w:p>
        </w:tc>
        <w:tc>
          <w:tcPr>
            <w:tcW w:w="83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73</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钢丝篮</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76</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铁</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0.44</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沙门分局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75</w:t>
            </w:r>
          </w:p>
        </w:tc>
        <w:tc>
          <w:tcPr>
            <w:tcW w:w="8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蒸笼</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铝</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2.24</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76</w:t>
            </w:r>
          </w:p>
        </w:tc>
        <w:tc>
          <w:tcPr>
            <w:tcW w:w="8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米桶</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9</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不锈钢</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2.02</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77</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74</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黄铜阀门</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台</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4438</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铜+铁+塑料</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0.22</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65%</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沙门分局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78</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75</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阀门产品</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b/>
                <w:bCs/>
                <w:color w:val="000000"/>
                <w:sz w:val="20"/>
                <w:szCs w:val="20"/>
              </w:rPr>
            </w:pPr>
          </w:p>
        </w:tc>
        <w:tc>
          <w:tcPr>
            <w:tcW w:w="76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b/>
                <w:bCs/>
                <w:color w:val="000000"/>
                <w:sz w:val="20"/>
                <w:szCs w:val="20"/>
              </w:rPr>
            </w:pP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铜+铁</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0.16</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76%</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沙门分局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79</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76</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黄铜球阀</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台</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336</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铜+铁+塑料</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0.23</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67%</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沙门分局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80</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77</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闸阀</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铜+塑料</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0.11</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68%</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沙门分局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81</w:t>
            </w:r>
          </w:p>
        </w:tc>
        <w:tc>
          <w:tcPr>
            <w:tcW w:w="83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78</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水暖用内螺纹连接阀门（闸阀）</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8</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铜+铁</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0.28</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80%</w:t>
            </w:r>
          </w:p>
        </w:tc>
        <w:tc>
          <w:tcPr>
            <w:tcW w:w="10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开发区所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82</w:t>
            </w:r>
          </w:p>
        </w:tc>
        <w:tc>
          <w:tcPr>
            <w:tcW w:w="831" w:type="dxa"/>
            <w:tcBorders>
              <w:top w:val="nil"/>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80</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油罐</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1</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不锈钢</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215.7</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tcBorders>
              <w:top w:val="nil"/>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楚门　　交警队</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83</w:t>
            </w:r>
          </w:p>
        </w:tc>
        <w:tc>
          <w:tcPr>
            <w:tcW w:w="831"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81</w:t>
            </w: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铜角阀(蓝色手柄）</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480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18"/>
                <w:szCs w:val="18"/>
                <w:lang w:bidi="ar"/>
              </w:rPr>
              <w:t>铜+橡胶+塑料</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0.46</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87%</w:t>
            </w:r>
          </w:p>
        </w:tc>
        <w:tc>
          <w:tcPr>
            <w:tcW w:w="103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龙溪所</w:t>
            </w: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84</w:t>
            </w:r>
          </w:p>
        </w:tc>
        <w:tc>
          <w:tcPr>
            <w:tcW w:w="83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b/>
                <w:bCs/>
                <w:color w:val="000000"/>
                <w:sz w:val="20"/>
                <w:szCs w:val="20"/>
              </w:rPr>
            </w:pPr>
          </w:p>
        </w:tc>
        <w:tc>
          <w:tcPr>
            <w:tcW w:w="288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铜角阀(蓝色手柄）</w:t>
            </w:r>
          </w:p>
        </w:tc>
        <w:tc>
          <w:tcPr>
            <w:tcW w:w="74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只</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480</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18"/>
                <w:szCs w:val="18"/>
                <w:lang w:bidi="ar"/>
              </w:rPr>
              <w:t>铜+橡胶+塑料</w:t>
            </w:r>
          </w:p>
        </w:tc>
        <w:tc>
          <w:tcPr>
            <w:tcW w:w="79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0.46</w:t>
            </w:r>
          </w:p>
        </w:tc>
        <w:tc>
          <w:tcPr>
            <w:tcW w:w="82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87%</w:t>
            </w:r>
          </w:p>
        </w:tc>
        <w:tc>
          <w:tcPr>
            <w:tcW w:w="103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b/>
                <w:bCs/>
                <w:color w:val="000000"/>
                <w:sz w:val="20"/>
                <w:szCs w:val="20"/>
              </w:rPr>
            </w:pPr>
          </w:p>
        </w:tc>
      </w:tr>
      <w:tr>
        <w:tblPrEx>
          <w:tblCellMar>
            <w:top w:w="0" w:type="dxa"/>
            <w:left w:w="108" w:type="dxa"/>
            <w:bottom w:w="0" w:type="dxa"/>
            <w:right w:w="108" w:type="dxa"/>
          </w:tblCellMar>
        </w:tblPrEx>
        <w:trPr>
          <w:trHeight w:val="510" w:hRule="exact"/>
        </w:trPr>
        <w:tc>
          <w:tcPr>
            <w:tcW w:w="750"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85</w:t>
            </w:r>
          </w:p>
        </w:tc>
        <w:tc>
          <w:tcPr>
            <w:tcW w:w="831"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82</w:t>
            </w:r>
          </w:p>
        </w:tc>
        <w:tc>
          <w:tcPr>
            <w:tcW w:w="2880" w:type="dxa"/>
            <w:tcBorders>
              <w:top w:val="single" w:color="000000" w:sz="4" w:space="0"/>
              <w:left w:val="single" w:color="000000" w:sz="4" w:space="0"/>
              <w:bottom w:val="single" w:color="auto" w:sz="4" w:space="0"/>
              <w:right w:val="single" w:color="000000" w:sz="4" w:space="0"/>
            </w:tcBorders>
            <w:noWrap w:val="0"/>
            <w:vAlign w:val="center"/>
          </w:tcPr>
          <w:p>
            <w:pPr>
              <w:widowControl/>
              <w:spacing w:line="240" w:lineRule="exact"/>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铜球阀阀体</w:t>
            </w:r>
          </w:p>
        </w:tc>
        <w:tc>
          <w:tcPr>
            <w:tcW w:w="746"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个</w:t>
            </w:r>
          </w:p>
        </w:tc>
        <w:tc>
          <w:tcPr>
            <w:tcW w:w="763"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950</w:t>
            </w:r>
          </w:p>
        </w:tc>
        <w:tc>
          <w:tcPr>
            <w:tcW w:w="1328"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铜</w:t>
            </w:r>
          </w:p>
        </w:tc>
        <w:tc>
          <w:tcPr>
            <w:tcW w:w="797"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0.98</w:t>
            </w:r>
          </w:p>
        </w:tc>
        <w:tc>
          <w:tcPr>
            <w:tcW w:w="823" w:type="dxa"/>
            <w:tcBorders>
              <w:top w:val="single" w:color="000000" w:sz="4" w:space="0"/>
              <w:left w:val="single" w:color="000000" w:sz="4" w:space="0"/>
              <w:bottom w:val="single" w:color="auto"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lang w:bidi="ar"/>
              </w:rPr>
              <w:t>100%</w:t>
            </w:r>
          </w:p>
        </w:tc>
        <w:tc>
          <w:tcPr>
            <w:tcW w:w="1030" w:type="dxa"/>
            <w:tcBorders>
              <w:top w:val="single" w:color="000000" w:sz="4" w:space="0"/>
              <w:left w:val="single" w:color="000000" w:sz="4" w:space="0"/>
              <w:bottom w:val="single" w:color="auto" w:sz="4" w:space="0"/>
              <w:right w:val="single" w:color="000000" w:sz="4" w:space="0"/>
            </w:tcBorders>
            <w:noWrap w:val="0"/>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龙溪所</w:t>
            </w:r>
          </w:p>
        </w:tc>
      </w:tr>
      <w:tr>
        <w:tblPrEx>
          <w:tblCellMar>
            <w:top w:w="0" w:type="dxa"/>
            <w:left w:w="108" w:type="dxa"/>
            <w:bottom w:w="0" w:type="dxa"/>
            <w:right w:w="108" w:type="dxa"/>
          </w:tblCellMar>
        </w:tblPrEx>
        <w:trPr>
          <w:trHeight w:val="510" w:hRule="exact"/>
        </w:trPr>
        <w:tc>
          <w:tcPr>
            <w:tcW w:w="750" w:type="dxa"/>
            <w:tcBorders>
              <w:top w:val="single" w:color="auto" w:sz="4" w:space="0"/>
              <w:left w:val="single" w:color="auto" w:sz="4" w:space="0"/>
              <w:bottom w:val="single" w:color="auto" w:sz="4" w:space="0"/>
              <w:right w:val="single" w:color="auto" w:sz="4" w:space="0"/>
            </w:tcBorders>
            <w:noWrap/>
            <w:vAlign w:val="bottom"/>
          </w:tcPr>
          <w:p>
            <w:pPr>
              <w:rPr>
                <w:rFonts w:hint="eastAsia" w:ascii="宋体" w:hAnsi="宋体" w:cs="宋体"/>
                <w:b/>
                <w:bCs/>
                <w:color w:val="000000"/>
                <w:sz w:val="20"/>
                <w:szCs w:val="20"/>
              </w:rPr>
            </w:pPr>
          </w:p>
        </w:tc>
        <w:tc>
          <w:tcPr>
            <w:tcW w:w="831" w:type="dxa"/>
            <w:tcBorders>
              <w:top w:val="single" w:color="auto" w:sz="4" w:space="0"/>
              <w:left w:val="single" w:color="auto" w:sz="4" w:space="0"/>
              <w:bottom w:val="single" w:color="auto" w:sz="4" w:space="0"/>
              <w:right w:val="single" w:color="auto" w:sz="4" w:space="0"/>
            </w:tcBorders>
            <w:noWrap/>
            <w:vAlign w:val="bottom"/>
          </w:tcPr>
          <w:p>
            <w:pPr>
              <w:rPr>
                <w:rFonts w:hint="eastAsia" w:ascii="宋体" w:hAnsi="宋体" w:cs="宋体"/>
                <w:b/>
                <w:bCs/>
                <w:color w:val="000000"/>
                <w:sz w:val="20"/>
                <w:szCs w:val="20"/>
              </w:rPr>
            </w:pPr>
          </w:p>
        </w:tc>
        <w:tc>
          <w:tcPr>
            <w:tcW w:w="2880" w:type="dxa"/>
            <w:tcBorders>
              <w:top w:val="single" w:color="auto" w:sz="4" w:space="0"/>
              <w:left w:val="single" w:color="auto" w:sz="4" w:space="0"/>
              <w:bottom w:val="single" w:color="auto" w:sz="4" w:space="0"/>
              <w:right w:val="single" w:color="auto" w:sz="4" w:space="0"/>
            </w:tcBorders>
            <w:noWrap/>
            <w:vAlign w:val="bottom"/>
          </w:tcPr>
          <w:p>
            <w:pPr>
              <w:widowControl/>
              <w:spacing w:line="240" w:lineRule="exact"/>
              <w:rPr>
                <w:rFonts w:hint="eastAsia" w:ascii="宋体" w:hAnsi="宋体" w:cs="宋体"/>
                <w:b/>
                <w:bCs/>
                <w:color w:val="000000"/>
                <w:sz w:val="20"/>
                <w:szCs w:val="20"/>
              </w:rPr>
            </w:pPr>
          </w:p>
        </w:tc>
        <w:tc>
          <w:tcPr>
            <w:tcW w:w="746" w:type="dxa"/>
            <w:tcBorders>
              <w:top w:val="single" w:color="auto" w:sz="4" w:space="0"/>
              <w:left w:val="single" w:color="auto" w:sz="4" w:space="0"/>
              <w:bottom w:val="single" w:color="auto" w:sz="4" w:space="0"/>
              <w:right w:val="single" w:color="auto" w:sz="4" w:space="0"/>
            </w:tcBorders>
            <w:noWrap/>
            <w:vAlign w:val="bottom"/>
          </w:tcPr>
          <w:p>
            <w:pPr>
              <w:rPr>
                <w:rFonts w:hint="eastAsia" w:ascii="宋体" w:hAnsi="宋体" w:cs="宋体"/>
                <w:b/>
                <w:bCs/>
                <w:color w:val="000000"/>
                <w:sz w:val="20"/>
                <w:szCs w:val="20"/>
              </w:rPr>
            </w:pPr>
          </w:p>
        </w:tc>
        <w:tc>
          <w:tcPr>
            <w:tcW w:w="763" w:type="dxa"/>
            <w:tcBorders>
              <w:top w:val="single" w:color="auto" w:sz="4" w:space="0"/>
              <w:left w:val="single" w:color="auto" w:sz="4" w:space="0"/>
              <w:bottom w:val="single" w:color="auto" w:sz="4" w:space="0"/>
              <w:right w:val="single" w:color="auto" w:sz="4" w:space="0"/>
            </w:tcBorders>
            <w:noWrap/>
            <w:vAlign w:val="bottom"/>
          </w:tcPr>
          <w:p>
            <w:pPr>
              <w:rPr>
                <w:rFonts w:hint="eastAsia" w:ascii="宋体" w:hAnsi="宋体" w:cs="宋体"/>
                <w:b/>
                <w:bCs/>
                <w:color w:val="000000"/>
                <w:sz w:val="20"/>
                <w:szCs w:val="20"/>
              </w:rPr>
            </w:pPr>
          </w:p>
        </w:tc>
        <w:tc>
          <w:tcPr>
            <w:tcW w:w="1328" w:type="dxa"/>
            <w:tcBorders>
              <w:top w:val="single" w:color="auto" w:sz="4" w:space="0"/>
              <w:left w:val="single" w:color="auto" w:sz="4" w:space="0"/>
              <w:bottom w:val="single" w:color="auto" w:sz="4" w:space="0"/>
              <w:right w:val="single" w:color="auto" w:sz="4" w:space="0"/>
            </w:tcBorders>
            <w:noWrap/>
            <w:vAlign w:val="bottom"/>
          </w:tcPr>
          <w:p>
            <w:pPr>
              <w:rPr>
                <w:rFonts w:hint="eastAsia" w:ascii="宋体" w:hAnsi="宋体" w:cs="宋体"/>
                <w:b/>
                <w:bCs/>
                <w:color w:val="000000"/>
                <w:sz w:val="20"/>
                <w:szCs w:val="20"/>
              </w:rPr>
            </w:pPr>
          </w:p>
        </w:tc>
        <w:tc>
          <w:tcPr>
            <w:tcW w:w="797" w:type="dxa"/>
            <w:tcBorders>
              <w:top w:val="single" w:color="auto" w:sz="4" w:space="0"/>
              <w:left w:val="single" w:color="auto" w:sz="4" w:space="0"/>
              <w:bottom w:val="single" w:color="auto" w:sz="4" w:space="0"/>
              <w:right w:val="single" w:color="auto" w:sz="4" w:space="0"/>
            </w:tcBorders>
            <w:noWrap/>
            <w:vAlign w:val="bottom"/>
          </w:tcPr>
          <w:p>
            <w:pPr>
              <w:rPr>
                <w:rFonts w:hint="eastAsia" w:ascii="宋体" w:hAnsi="宋体" w:cs="宋体"/>
                <w:b/>
                <w:bCs/>
                <w:color w:val="000000"/>
                <w:sz w:val="20"/>
                <w:szCs w:val="20"/>
              </w:rPr>
            </w:pPr>
          </w:p>
        </w:tc>
        <w:tc>
          <w:tcPr>
            <w:tcW w:w="82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b/>
                <w:bCs/>
                <w:color w:val="000000"/>
                <w:sz w:val="20"/>
                <w:szCs w:val="20"/>
              </w:rPr>
            </w:pPr>
          </w:p>
        </w:tc>
        <w:tc>
          <w:tcPr>
            <w:tcW w:w="103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b/>
                <w:bCs/>
                <w:color w:val="000000"/>
                <w:sz w:val="20"/>
                <w:szCs w:val="20"/>
              </w:rPr>
            </w:pPr>
          </w:p>
        </w:tc>
      </w:tr>
      <w:tr>
        <w:tblPrEx>
          <w:tblCellMar>
            <w:top w:w="0" w:type="dxa"/>
            <w:left w:w="108" w:type="dxa"/>
            <w:bottom w:w="0" w:type="dxa"/>
            <w:right w:w="108" w:type="dxa"/>
          </w:tblCellMar>
        </w:tblPrEx>
        <w:trPr>
          <w:trHeight w:val="510" w:hRule="exact"/>
        </w:trPr>
        <w:tc>
          <w:tcPr>
            <w:tcW w:w="1581"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b/>
                <w:bCs/>
                <w:color w:val="000000"/>
                <w:sz w:val="20"/>
                <w:szCs w:val="20"/>
              </w:rPr>
            </w:pPr>
            <w:r>
              <w:rPr>
                <w:rFonts w:hint="eastAsia" w:ascii="宋体" w:hAnsi="宋体" w:cs="宋体"/>
                <w:b/>
                <w:bCs/>
                <w:color w:val="000000"/>
                <w:sz w:val="20"/>
                <w:szCs w:val="20"/>
              </w:rPr>
              <w:t>合　计</w:t>
            </w:r>
          </w:p>
        </w:tc>
        <w:tc>
          <w:tcPr>
            <w:tcW w:w="2880" w:type="dxa"/>
            <w:tcBorders>
              <w:top w:val="single" w:color="auto" w:sz="4" w:space="0"/>
              <w:left w:val="single" w:color="auto" w:sz="4" w:space="0"/>
              <w:bottom w:val="single" w:color="auto" w:sz="4" w:space="0"/>
              <w:right w:val="single" w:color="auto" w:sz="4" w:space="0"/>
            </w:tcBorders>
            <w:noWrap/>
            <w:vAlign w:val="bottom"/>
          </w:tcPr>
          <w:p>
            <w:pPr>
              <w:widowControl/>
              <w:spacing w:line="240" w:lineRule="exact"/>
              <w:rPr>
                <w:rFonts w:hint="eastAsia" w:ascii="宋体" w:hAnsi="宋体" w:cs="宋体"/>
                <w:b/>
                <w:bCs/>
                <w:color w:val="000000"/>
                <w:sz w:val="20"/>
                <w:szCs w:val="20"/>
              </w:rPr>
            </w:pPr>
          </w:p>
        </w:tc>
        <w:tc>
          <w:tcPr>
            <w:tcW w:w="746" w:type="dxa"/>
            <w:tcBorders>
              <w:top w:val="single" w:color="auto" w:sz="4" w:space="0"/>
              <w:left w:val="single" w:color="auto" w:sz="4" w:space="0"/>
              <w:bottom w:val="single" w:color="auto" w:sz="4" w:space="0"/>
              <w:right w:val="single" w:color="auto" w:sz="4" w:space="0"/>
            </w:tcBorders>
            <w:noWrap/>
            <w:vAlign w:val="bottom"/>
          </w:tcPr>
          <w:p>
            <w:pPr>
              <w:rPr>
                <w:rFonts w:hint="eastAsia" w:ascii="宋体" w:hAnsi="宋体" w:cs="宋体"/>
                <w:b/>
                <w:bCs/>
                <w:color w:val="000000"/>
                <w:sz w:val="20"/>
                <w:szCs w:val="20"/>
              </w:rPr>
            </w:pPr>
          </w:p>
        </w:tc>
        <w:tc>
          <w:tcPr>
            <w:tcW w:w="763" w:type="dxa"/>
            <w:tcBorders>
              <w:top w:val="single" w:color="auto" w:sz="4" w:space="0"/>
              <w:left w:val="single" w:color="auto" w:sz="4" w:space="0"/>
              <w:bottom w:val="single" w:color="auto" w:sz="4" w:space="0"/>
              <w:right w:val="single" w:color="auto" w:sz="4" w:space="0"/>
            </w:tcBorders>
            <w:noWrap/>
            <w:vAlign w:val="bottom"/>
          </w:tcPr>
          <w:p>
            <w:pPr>
              <w:rPr>
                <w:rFonts w:hint="eastAsia" w:ascii="宋体" w:hAnsi="宋体" w:cs="宋体"/>
                <w:b/>
                <w:bCs/>
                <w:color w:val="000000"/>
                <w:sz w:val="20"/>
                <w:szCs w:val="20"/>
              </w:rPr>
            </w:pPr>
          </w:p>
        </w:tc>
        <w:tc>
          <w:tcPr>
            <w:tcW w:w="1328" w:type="dxa"/>
            <w:tcBorders>
              <w:top w:val="single" w:color="auto" w:sz="4" w:space="0"/>
              <w:left w:val="single" w:color="auto" w:sz="4" w:space="0"/>
              <w:bottom w:val="single" w:color="auto" w:sz="4" w:space="0"/>
              <w:right w:val="single" w:color="auto" w:sz="4" w:space="0"/>
            </w:tcBorders>
            <w:noWrap/>
            <w:vAlign w:val="bottom"/>
          </w:tcPr>
          <w:p>
            <w:pPr>
              <w:rPr>
                <w:rFonts w:hint="eastAsia" w:ascii="宋体" w:hAnsi="宋体" w:cs="宋体"/>
                <w:b/>
                <w:bCs/>
                <w:color w:val="000000"/>
                <w:sz w:val="20"/>
                <w:szCs w:val="20"/>
              </w:rPr>
            </w:pPr>
          </w:p>
        </w:tc>
        <w:tc>
          <w:tcPr>
            <w:tcW w:w="797" w:type="dxa"/>
            <w:tcBorders>
              <w:top w:val="single" w:color="auto" w:sz="4" w:space="0"/>
              <w:left w:val="single" w:color="auto" w:sz="4" w:space="0"/>
              <w:bottom w:val="single" w:color="auto" w:sz="4" w:space="0"/>
              <w:right w:val="single" w:color="auto" w:sz="4" w:space="0"/>
            </w:tcBorders>
            <w:noWrap/>
            <w:vAlign w:val="bottom"/>
          </w:tcPr>
          <w:p>
            <w:pPr>
              <w:rPr>
                <w:rFonts w:hint="eastAsia" w:ascii="宋体" w:hAnsi="宋体" w:cs="宋体"/>
                <w:b/>
                <w:bCs/>
                <w:color w:val="000000"/>
                <w:sz w:val="20"/>
                <w:szCs w:val="20"/>
              </w:rPr>
            </w:pPr>
          </w:p>
        </w:tc>
        <w:tc>
          <w:tcPr>
            <w:tcW w:w="82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b/>
                <w:bCs/>
                <w:color w:val="000000"/>
                <w:sz w:val="20"/>
                <w:szCs w:val="20"/>
              </w:rPr>
            </w:pPr>
          </w:p>
        </w:tc>
        <w:tc>
          <w:tcPr>
            <w:tcW w:w="1030"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宋体" w:hAnsi="宋体" w:cs="宋体"/>
                <w:b/>
                <w:bCs/>
                <w:color w:val="000000"/>
                <w:sz w:val="20"/>
                <w:szCs w:val="20"/>
              </w:rPr>
            </w:pPr>
          </w:p>
        </w:tc>
      </w:tr>
    </w:tbl>
    <w:p>
      <w:pPr>
        <w:spacing w:line="20" w:lineRule="exact"/>
      </w:pPr>
    </w:p>
    <w:p>
      <w:pPr>
        <w:rPr>
          <w:rFonts w:hint="eastAsia" w:ascii="华文新魏" w:hAnsi="宋体" w:eastAsia="华文新魏"/>
          <w:b/>
          <w:sz w:val="32"/>
          <w:szCs w:val="28"/>
          <w:lang w:eastAsia="zh-CN"/>
        </w:rPr>
        <w:sectPr>
          <w:pgSz w:w="11906" w:h="16838"/>
          <w:pgMar w:top="1440" w:right="1800" w:bottom="1440" w:left="1800" w:header="851" w:footer="992" w:gutter="0"/>
          <w:cols w:space="425" w:num="1"/>
          <w:docGrid w:type="lines" w:linePitch="312" w:charSpace="0"/>
        </w:sectPr>
      </w:pPr>
    </w:p>
    <w:p>
      <w:pPr>
        <w:jc w:val="left"/>
        <w:rPr>
          <w:rFonts w:hint="eastAsia" w:ascii="华文新魏" w:hAnsi="宋体" w:eastAsia="华文新魏"/>
          <w:b/>
          <w:sz w:val="32"/>
          <w:szCs w:val="28"/>
          <w:lang w:eastAsia="zh-CN"/>
        </w:rPr>
        <w:sectPr>
          <w:pgSz w:w="11906" w:h="16838"/>
          <w:pgMar w:top="1440" w:right="1800" w:bottom="1440" w:left="1800" w:header="851" w:footer="992" w:gutter="0"/>
          <w:cols w:space="425" w:num="1"/>
          <w:docGrid w:type="lines" w:linePitch="312" w:charSpace="0"/>
        </w:sectPr>
      </w:pPr>
      <w:r>
        <w:rPr>
          <w:rFonts w:hint="eastAsia" w:ascii="华文新魏" w:hAnsi="宋体" w:eastAsia="华文新魏"/>
          <w:b/>
          <w:sz w:val="32"/>
          <w:szCs w:val="28"/>
          <w:lang w:eastAsia="zh-CN"/>
        </w:rPr>
        <w:t>附件三：</w:t>
      </w:r>
      <w:r>
        <w:rPr>
          <w:rFonts w:hint="eastAsia" w:ascii="华文新魏" w:hAnsi="宋体" w:eastAsia="华文新魏"/>
          <w:b/>
          <w:sz w:val="32"/>
          <w:szCs w:val="28"/>
          <w:lang w:eastAsia="zh-CN"/>
        </w:rPr>
        <w:drawing>
          <wp:inline distT="0" distB="0" distL="114300" distR="114300">
            <wp:extent cx="5181600" cy="7125970"/>
            <wp:effectExtent l="0" t="0" r="0" b="17780"/>
            <wp:docPr id="2" name="图片 2" descr="ee13b7de5345f9e40875300b5beb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e13b7de5345f9e40875300b5beb9f9"/>
                    <pic:cNvPicPr>
                      <a:picLocks noChangeAspect="1"/>
                    </pic:cNvPicPr>
                  </pic:nvPicPr>
                  <pic:blipFill>
                    <a:blip r:embed="rId4"/>
                    <a:stretch>
                      <a:fillRect/>
                    </a:stretch>
                  </pic:blipFill>
                  <pic:spPr>
                    <a:xfrm>
                      <a:off x="0" y="0"/>
                      <a:ext cx="5181600" cy="7125970"/>
                    </a:xfrm>
                    <a:prstGeom prst="rect">
                      <a:avLst/>
                    </a:prstGeom>
                  </pic:spPr>
                </pic:pic>
              </a:graphicData>
            </a:graphic>
          </wp:inline>
        </w:drawing>
      </w:r>
      <w:r>
        <w:rPr>
          <w:rFonts w:hint="eastAsia" w:ascii="华文新魏" w:hAnsi="宋体" w:eastAsia="华文新魏"/>
          <w:b/>
          <w:sz w:val="32"/>
          <w:szCs w:val="28"/>
          <w:lang w:eastAsia="zh-CN"/>
        </w:rPr>
        <w:drawing>
          <wp:inline distT="0" distB="0" distL="114300" distR="114300">
            <wp:extent cx="5273675" cy="7310120"/>
            <wp:effectExtent l="0" t="0" r="3175" b="5080"/>
            <wp:docPr id="1" name="图片 1" descr="f404f4d0b4a9b199323d3a0fdf21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404f4d0b4a9b199323d3a0fdf21e57"/>
                    <pic:cNvPicPr>
                      <a:picLocks noChangeAspect="1"/>
                    </pic:cNvPicPr>
                  </pic:nvPicPr>
                  <pic:blipFill>
                    <a:blip r:embed="rId5"/>
                    <a:stretch>
                      <a:fillRect/>
                    </a:stretch>
                  </pic:blipFill>
                  <pic:spPr>
                    <a:xfrm>
                      <a:off x="0" y="0"/>
                      <a:ext cx="5273675" cy="7310120"/>
                    </a:xfrm>
                    <a:prstGeom prst="rect">
                      <a:avLst/>
                    </a:prstGeom>
                  </pic:spPr>
                </pic:pic>
              </a:graphicData>
            </a:graphic>
          </wp:inline>
        </w:drawing>
      </w:r>
      <w:r>
        <w:rPr>
          <w:rFonts w:hint="eastAsia" w:ascii="华文新魏" w:hAnsi="宋体" w:eastAsia="华文新魏"/>
          <w:b/>
          <w:sz w:val="32"/>
          <w:szCs w:val="28"/>
          <w:lang w:eastAsia="zh-CN"/>
        </w:rPr>
        <w:drawing>
          <wp:inline distT="0" distB="0" distL="114300" distR="114300">
            <wp:extent cx="5269230" cy="6798310"/>
            <wp:effectExtent l="0" t="0" r="7620" b="2540"/>
            <wp:docPr id="3" name="图片 3" descr="58531d96f92f72d9e30de87843a6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8531d96f92f72d9e30de87843a6743"/>
                    <pic:cNvPicPr>
                      <a:picLocks noChangeAspect="1"/>
                    </pic:cNvPicPr>
                  </pic:nvPicPr>
                  <pic:blipFill>
                    <a:blip r:embed="rId6"/>
                    <a:stretch>
                      <a:fillRect/>
                    </a:stretch>
                  </pic:blipFill>
                  <pic:spPr>
                    <a:xfrm>
                      <a:off x="0" y="0"/>
                      <a:ext cx="5269230" cy="6798310"/>
                    </a:xfrm>
                    <a:prstGeom prst="rect">
                      <a:avLst/>
                    </a:prstGeom>
                  </pic:spPr>
                </pic:pic>
              </a:graphicData>
            </a:graphic>
          </wp:inline>
        </w:drawing>
      </w:r>
    </w:p>
    <w:p>
      <w:pPr>
        <w:jc w:val="left"/>
        <w:rPr>
          <w:rFonts w:hint="eastAsia" w:ascii="华文新魏" w:hAnsi="宋体" w:eastAsia="华文新魏"/>
          <w:b/>
          <w:sz w:val="32"/>
          <w:szCs w:val="28"/>
          <w:lang w:eastAsia="zh-CN"/>
        </w:rPr>
      </w:pPr>
      <w:r>
        <w:rPr>
          <w:rFonts w:hint="eastAsia" w:ascii="华文新魏" w:hAnsi="宋体" w:eastAsia="华文新魏"/>
          <w:b/>
          <w:sz w:val="32"/>
          <w:szCs w:val="28"/>
          <w:lang w:eastAsia="zh-CN"/>
        </w:rPr>
        <w:t>附件四：</w:t>
      </w:r>
    </w:p>
    <w:p>
      <w:pPr>
        <w:jc w:val="left"/>
        <w:rPr>
          <w:rFonts w:hint="eastAsia" w:ascii="华文新魏" w:hAnsi="宋体" w:eastAsia="华文新魏"/>
          <w:b/>
          <w:sz w:val="32"/>
          <w:szCs w:val="28"/>
          <w:lang w:eastAsia="zh-CN"/>
        </w:rPr>
      </w:pPr>
      <w:r>
        <w:rPr>
          <w:rFonts w:hint="eastAsia" w:ascii="华文新魏" w:hAnsi="宋体" w:eastAsia="华文新魏"/>
          <w:b/>
          <w:sz w:val="32"/>
          <w:szCs w:val="28"/>
          <w:lang w:eastAsia="zh-CN"/>
        </w:rPr>
        <w:drawing>
          <wp:inline distT="0" distB="0" distL="114300" distR="114300">
            <wp:extent cx="3898265" cy="5200015"/>
            <wp:effectExtent l="0" t="0" r="6985" b="635"/>
            <wp:docPr id="4" name="图片 4" descr="5fcb4a0181645f03bc1c6eb3d99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fcb4a0181645f03bc1c6eb3d993829"/>
                    <pic:cNvPicPr>
                      <a:picLocks noChangeAspect="1"/>
                    </pic:cNvPicPr>
                  </pic:nvPicPr>
                  <pic:blipFill>
                    <a:blip r:embed="rId7"/>
                    <a:stretch>
                      <a:fillRect/>
                    </a:stretch>
                  </pic:blipFill>
                  <pic:spPr>
                    <a:xfrm>
                      <a:off x="0" y="0"/>
                      <a:ext cx="3898265" cy="5200015"/>
                    </a:xfrm>
                    <a:prstGeom prst="rect">
                      <a:avLst/>
                    </a:prstGeom>
                  </pic:spPr>
                </pic:pic>
              </a:graphicData>
            </a:graphic>
          </wp:inline>
        </w:drawing>
      </w:r>
      <w:r>
        <w:rPr>
          <w:rFonts w:hint="eastAsia" w:ascii="华文新魏" w:hAnsi="宋体" w:eastAsia="华文新魏"/>
          <w:b/>
          <w:sz w:val="32"/>
          <w:szCs w:val="28"/>
          <w:lang w:eastAsia="zh-CN"/>
        </w:rPr>
        <w:drawing>
          <wp:inline distT="0" distB="0" distL="114300" distR="114300">
            <wp:extent cx="3898265" cy="5200015"/>
            <wp:effectExtent l="0" t="0" r="6985" b="635"/>
            <wp:docPr id="6" name="图片 6" descr="aa9d91a8fd333fb0e5f9d9bc0268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a9d91a8fd333fb0e5f9d9bc0268970"/>
                    <pic:cNvPicPr>
                      <a:picLocks noChangeAspect="1"/>
                    </pic:cNvPicPr>
                  </pic:nvPicPr>
                  <pic:blipFill>
                    <a:blip r:embed="rId8"/>
                    <a:stretch>
                      <a:fillRect/>
                    </a:stretch>
                  </pic:blipFill>
                  <pic:spPr>
                    <a:xfrm>
                      <a:off x="0" y="0"/>
                      <a:ext cx="3898265" cy="5200015"/>
                    </a:xfrm>
                    <a:prstGeom prst="rect">
                      <a:avLst/>
                    </a:prstGeom>
                  </pic:spPr>
                </pic:pic>
              </a:graphicData>
            </a:graphic>
          </wp:inline>
        </w:drawing>
      </w:r>
      <w:r>
        <w:rPr>
          <w:rFonts w:hint="eastAsia" w:ascii="华文新魏" w:hAnsi="宋体" w:eastAsia="华文新魏"/>
          <w:b/>
          <w:sz w:val="32"/>
          <w:szCs w:val="28"/>
          <w:lang w:eastAsia="zh-CN"/>
        </w:rPr>
        <w:drawing>
          <wp:inline distT="0" distB="0" distL="114300" distR="114300">
            <wp:extent cx="3898265" cy="5200015"/>
            <wp:effectExtent l="0" t="0" r="6985" b="635"/>
            <wp:docPr id="5" name="图片 5" descr="bf52bac258f6147da54afe1cb3e53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f52bac258f6147da54afe1cb3e53bf"/>
                    <pic:cNvPicPr>
                      <a:picLocks noChangeAspect="1"/>
                    </pic:cNvPicPr>
                  </pic:nvPicPr>
                  <pic:blipFill>
                    <a:blip r:embed="rId9"/>
                    <a:stretch>
                      <a:fillRect/>
                    </a:stretch>
                  </pic:blipFill>
                  <pic:spPr>
                    <a:xfrm>
                      <a:off x="0" y="0"/>
                      <a:ext cx="3898265" cy="5200015"/>
                    </a:xfrm>
                    <a:prstGeom prst="rect">
                      <a:avLst/>
                    </a:prstGeom>
                  </pic:spPr>
                </pic:pic>
              </a:graphicData>
            </a:graphic>
          </wp:inline>
        </w:drawing>
      </w:r>
      <w:r>
        <w:rPr>
          <w:rFonts w:hint="eastAsia" w:ascii="华文新魏" w:hAnsi="宋体" w:eastAsia="华文新魏"/>
          <w:b/>
          <w:sz w:val="32"/>
          <w:szCs w:val="28"/>
          <w:lang w:eastAsia="zh-CN"/>
        </w:rPr>
        <w:drawing>
          <wp:inline distT="0" distB="0" distL="114300" distR="114300">
            <wp:extent cx="3898265" cy="5200015"/>
            <wp:effectExtent l="0" t="0" r="6985" b="635"/>
            <wp:docPr id="7" name="图片 7" descr="6531e40392858c1e033772666b18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531e40392858c1e033772666b18e5a"/>
                    <pic:cNvPicPr>
                      <a:picLocks noChangeAspect="1"/>
                    </pic:cNvPicPr>
                  </pic:nvPicPr>
                  <pic:blipFill>
                    <a:blip r:embed="rId10"/>
                    <a:stretch>
                      <a:fillRect/>
                    </a:stretch>
                  </pic:blipFill>
                  <pic:spPr>
                    <a:xfrm>
                      <a:off x="0" y="0"/>
                      <a:ext cx="3898265" cy="5200015"/>
                    </a:xfrm>
                    <a:prstGeom prst="rect">
                      <a:avLst/>
                    </a:prstGeom>
                  </pic:spPr>
                </pic:pic>
              </a:graphicData>
            </a:graphic>
          </wp:inline>
        </w:drawing>
      </w:r>
      <w:r>
        <w:rPr>
          <w:rFonts w:hint="eastAsia" w:ascii="华文新魏" w:hAnsi="宋体" w:eastAsia="华文新魏"/>
          <w:b/>
          <w:sz w:val="32"/>
          <w:szCs w:val="28"/>
          <w:lang w:eastAsia="zh-CN"/>
        </w:rPr>
        <w:drawing>
          <wp:inline distT="0" distB="0" distL="114300" distR="114300">
            <wp:extent cx="3898265" cy="5200015"/>
            <wp:effectExtent l="0" t="0" r="6985" b="635"/>
            <wp:docPr id="8" name="图片 8" descr="d6ef77cb2b9dbd91ad31b678ad8c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6ef77cb2b9dbd91ad31b678ad8c266"/>
                    <pic:cNvPicPr>
                      <a:picLocks noChangeAspect="1"/>
                    </pic:cNvPicPr>
                  </pic:nvPicPr>
                  <pic:blipFill>
                    <a:blip r:embed="rId11"/>
                    <a:stretch>
                      <a:fillRect/>
                    </a:stretch>
                  </pic:blipFill>
                  <pic:spPr>
                    <a:xfrm>
                      <a:off x="0" y="0"/>
                      <a:ext cx="3898265" cy="5200015"/>
                    </a:xfrm>
                    <a:prstGeom prst="rect">
                      <a:avLst/>
                    </a:prstGeom>
                  </pic:spPr>
                </pic:pic>
              </a:graphicData>
            </a:graphic>
          </wp:inline>
        </w:drawing>
      </w:r>
      <w:r>
        <w:rPr>
          <w:rFonts w:hint="eastAsia" w:ascii="华文新魏" w:hAnsi="宋体" w:eastAsia="华文新魏"/>
          <w:b/>
          <w:sz w:val="32"/>
          <w:szCs w:val="28"/>
          <w:lang w:eastAsia="zh-CN"/>
        </w:rPr>
        <w:drawing>
          <wp:inline distT="0" distB="0" distL="114300" distR="114300">
            <wp:extent cx="3898265" cy="5200015"/>
            <wp:effectExtent l="0" t="0" r="6985" b="635"/>
            <wp:docPr id="9" name="图片 9" descr="1ae94f7ee11ada857d6b9d8a5e72a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ae94f7ee11ada857d6b9d8a5e72a9e"/>
                    <pic:cNvPicPr>
                      <a:picLocks noChangeAspect="1"/>
                    </pic:cNvPicPr>
                  </pic:nvPicPr>
                  <pic:blipFill>
                    <a:blip r:embed="rId12"/>
                    <a:stretch>
                      <a:fillRect/>
                    </a:stretch>
                  </pic:blipFill>
                  <pic:spPr>
                    <a:xfrm>
                      <a:off x="0" y="0"/>
                      <a:ext cx="3898265" cy="5200015"/>
                    </a:xfrm>
                    <a:prstGeom prst="rect">
                      <a:avLst/>
                    </a:prstGeom>
                  </pic:spPr>
                </pic:pic>
              </a:graphicData>
            </a:graphic>
          </wp:inline>
        </w:drawing>
      </w:r>
      <w:r>
        <w:rPr>
          <w:rFonts w:hint="eastAsia" w:ascii="华文新魏" w:hAnsi="宋体" w:eastAsia="华文新魏"/>
          <w:b/>
          <w:sz w:val="32"/>
          <w:szCs w:val="28"/>
          <w:lang w:eastAsia="zh-CN"/>
        </w:rPr>
        <w:drawing>
          <wp:inline distT="0" distB="0" distL="114300" distR="114300">
            <wp:extent cx="5200015" cy="3898265"/>
            <wp:effectExtent l="0" t="0" r="635" b="6985"/>
            <wp:docPr id="10" name="图片 10" descr="90f943d70e2873910aeb7854141cc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0f943d70e2873910aeb7854141cce9"/>
                    <pic:cNvPicPr>
                      <a:picLocks noChangeAspect="1"/>
                    </pic:cNvPicPr>
                  </pic:nvPicPr>
                  <pic:blipFill>
                    <a:blip r:embed="rId13"/>
                    <a:stretch>
                      <a:fillRect/>
                    </a:stretch>
                  </pic:blipFill>
                  <pic:spPr>
                    <a:xfrm>
                      <a:off x="0" y="0"/>
                      <a:ext cx="5200015" cy="3898265"/>
                    </a:xfrm>
                    <a:prstGeom prst="rect">
                      <a:avLst/>
                    </a:prstGeom>
                  </pic:spPr>
                </pic:pic>
              </a:graphicData>
            </a:graphic>
          </wp:inline>
        </w:drawing>
      </w:r>
      <w:r>
        <w:rPr>
          <w:rFonts w:hint="eastAsia" w:ascii="华文新魏" w:hAnsi="宋体" w:eastAsia="华文新魏"/>
          <w:b/>
          <w:sz w:val="32"/>
          <w:szCs w:val="28"/>
          <w:lang w:eastAsia="zh-CN"/>
        </w:rPr>
        <w:drawing>
          <wp:inline distT="0" distB="0" distL="114300" distR="114300">
            <wp:extent cx="5262880" cy="7019925"/>
            <wp:effectExtent l="0" t="0" r="13970" b="9525"/>
            <wp:docPr id="12" name="图片 12" descr="89f5152eecb6bbddae7d96c543e3d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9f5152eecb6bbddae7d96c543e3d06"/>
                    <pic:cNvPicPr>
                      <a:picLocks noChangeAspect="1"/>
                    </pic:cNvPicPr>
                  </pic:nvPicPr>
                  <pic:blipFill>
                    <a:blip r:embed="rId14"/>
                    <a:stretch>
                      <a:fillRect/>
                    </a:stretch>
                  </pic:blipFill>
                  <pic:spPr>
                    <a:xfrm>
                      <a:off x="0" y="0"/>
                      <a:ext cx="5262880" cy="7019925"/>
                    </a:xfrm>
                    <a:prstGeom prst="rect">
                      <a:avLst/>
                    </a:prstGeom>
                  </pic:spPr>
                </pic:pic>
              </a:graphicData>
            </a:graphic>
          </wp:inline>
        </w:drawing>
      </w:r>
      <w:r>
        <w:rPr>
          <w:rFonts w:hint="eastAsia" w:ascii="华文新魏" w:hAnsi="宋体" w:eastAsia="华文新魏"/>
          <w:b/>
          <w:sz w:val="32"/>
          <w:szCs w:val="28"/>
          <w:lang w:eastAsia="zh-CN"/>
        </w:rPr>
        <w:drawing>
          <wp:inline distT="0" distB="0" distL="114300" distR="114300">
            <wp:extent cx="3898265" cy="5200015"/>
            <wp:effectExtent l="0" t="0" r="6985" b="635"/>
            <wp:docPr id="11" name="图片 11" descr="b03f9cb84171ba799eda00235f4a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03f9cb84171ba799eda00235f4ae3d"/>
                    <pic:cNvPicPr>
                      <a:picLocks noChangeAspect="1"/>
                    </pic:cNvPicPr>
                  </pic:nvPicPr>
                  <pic:blipFill>
                    <a:blip r:embed="rId15"/>
                    <a:stretch>
                      <a:fillRect/>
                    </a:stretch>
                  </pic:blipFill>
                  <pic:spPr>
                    <a:xfrm>
                      <a:off x="0" y="0"/>
                      <a:ext cx="3898265" cy="5200015"/>
                    </a:xfrm>
                    <a:prstGeom prst="rect">
                      <a:avLst/>
                    </a:prstGeom>
                  </pic:spPr>
                </pic:pic>
              </a:graphicData>
            </a:graphic>
          </wp:inline>
        </w:drawing>
      </w:r>
      <w:r>
        <w:rPr>
          <w:rFonts w:hint="eastAsia" w:ascii="华文新魏" w:hAnsi="宋体" w:eastAsia="华文新魏"/>
          <w:b/>
          <w:sz w:val="32"/>
          <w:szCs w:val="28"/>
          <w:lang w:eastAsia="zh-CN"/>
        </w:rPr>
        <w:drawing>
          <wp:inline distT="0" distB="0" distL="114300" distR="114300">
            <wp:extent cx="3898265" cy="5200015"/>
            <wp:effectExtent l="0" t="0" r="6985" b="635"/>
            <wp:docPr id="13" name="图片 13" descr="8d7a10ce49860dabe78959e148907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d7a10ce49860dabe78959e148907d3"/>
                    <pic:cNvPicPr>
                      <a:picLocks noChangeAspect="1"/>
                    </pic:cNvPicPr>
                  </pic:nvPicPr>
                  <pic:blipFill>
                    <a:blip r:embed="rId16"/>
                    <a:stretch>
                      <a:fillRect/>
                    </a:stretch>
                  </pic:blipFill>
                  <pic:spPr>
                    <a:xfrm>
                      <a:off x="0" y="0"/>
                      <a:ext cx="3898265" cy="5200015"/>
                    </a:xfrm>
                    <a:prstGeom prst="rect">
                      <a:avLst/>
                    </a:prstGeom>
                  </pic:spPr>
                </pic:pic>
              </a:graphicData>
            </a:graphic>
          </wp:inline>
        </w:drawing>
      </w:r>
    </w:p>
    <w:p>
      <w:pPr>
        <w:jc w:val="left"/>
        <w:rPr>
          <w:rFonts w:hint="eastAsia" w:ascii="华文新魏" w:hAnsi="宋体" w:eastAsia="华文新魏"/>
          <w:b/>
          <w:sz w:val="32"/>
          <w:szCs w:val="28"/>
          <w:lang w:eastAsia="zh-CN"/>
        </w:rPr>
      </w:pPr>
    </w:p>
    <w:p>
      <w:pPr>
        <w:jc w:val="left"/>
        <w:rPr>
          <w:rFonts w:hint="eastAsia" w:ascii="华文新魏" w:hAnsi="宋体" w:eastAsia="华文新魏"/>
          <w:b/>
          <w:sz w:val="32"/>
          <w:szCs w:val="28"/>
          <w:lang w:eastAsia="zh-CN"/>
        </w:rPr>
      </w:pPr>
    </w:p>
    <w:p>
      <w:pPr>
        <w:jc w:val="left"/>
        <w:rPr>
          <w:rFonts w:hint="eastAsia" w:ascii="华文新魏" w:hAnsi="宋体" w:eastAsia="华文新魏"/>
          <w:b/>
          <w:sz w:val="32"/>
          <w:szCs w:val="28"/>
          <w:lang w:eastAsia="zh-CN"/>
        </w:rPr>
      </w:pPr>
    </w:p>
    <w:p>
      <w:pPr>
        <w:jc w:val="left"/>
        <w:rPr>
          <w:rFonts w:hint="eastAsia" w:ascii="华文新魏" w:hAnsi="宋体" w:eastAsia="华文新魏"/>
          <w:b/>
          <w:sz w:val="32"/>
          <w:szCs w:val="28"/>
          <w:lang w:eastAsia="zh-CN"/>
        </w:rPr>
      </w:pPr>
      <w:r>
        <w:rPr>
          <w:rFonts w:hint="eastAsia" w:ascii="华文新魏" w:hAnsi="宋体" w:eastAsia="华文新魏"/>
          <w:b/>
          <w:sz w:val="32"/>
          <w:szCs w:val="28"/>
          <w:lang w:eastAsia="zh-CN"/>
        </w:rPr>
        <w:drawing>
          <wp:inline distT="0" distB="0" distL="114300" distR="114300">
            <wp:extent cx="1957070" cy="2533015"/>
            <wp:effectExtent l="0" t="0" r="5080" b="635"/>
            <wp:docPr id="14" name="图片 14" descr="533b0a9f9ced5ff53487db23ccdb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33b0a9f9ced5ff53487db23ccdbab7"/>
                    <pic:cNvPicPr>
                      <a:picLocks noChangeAspect="1"/>
                    </pic:cNvPicPr>
                  </pic:nvPicPr>
                  <pic:blipFill>
                    <a:blip r:embed="rId17"/>
                    <a:stretch>
                      <a:fillRect/>
                    </a:stretch>
                  </pic:blipFill>
                  <pic:spPr>
                    <a:xfrm>
                      <a:off x="0" y="0"/>
                      <a:ext cx="1957070" cy="2533015"/>
                    </a:xfrm>
                    <a:prstGeom prst="rect">
                      <a:avLst/>
                    </a:prstGeom>
                  </pic:spPr>
                </pic:pic>
              </a:graphicData>
            </a:graphic>
          </wp:inline>
        </w:drawing>
      </w:r>
      <w:r>
        <w:rPr>
          <w:rFonts w:hint="eastAsia" w:ascii="华文新魏" w:hAnsi="宋体" w:eastAsia="华文新魏"/>
          <w:b/>
          <w:sz w:val="32"/>
          <w:szCs w:val="28"/>
          <w:lang w:eastAsia="zh-CN"/>
        </w:rPr>
        <w:drawing>
          <wp:inline distT="0" distB="0" distL="114300" distR="114300">
            <wp:extent cx="1417320" cy="1790700"/>
            <wp:effectExtent l="0" t="0" r="11430" b="0"/>
            <wp:docPr id="15" name="图片 15" descr="561443c25750a31a4b3e3c3de4482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61443c25750a31a4b3e3c3de4482ef"/>
                    <pic:cNvPicPr>
                      <a:picLocks noChangeAspect="1"/>
                    </pic:cNvPicPr>
                  </pic:nvPicPr>
                  <pic:blipFill>
                    <a:blip r:embed="rId18"/>
                    <a:stretch>
                      <a:fillRect/>
                    </a:stretch>
                  </pic:blipFill>
                  <pic:spPr>
                    <a:xfrm>
                      <a:off x="0" y="0"/>
                      <a:ext cx="1417320" cy="1790700"/>
                    </a:xfrm>
                    <a:prstGeom prst="rect">
                      <a:avLst/>
                    </a:prstGeom>
                  </pic:spPr>
                </pic:pic>
              </a:graphicData>
            </a:graphic>
          </wp:inline>
        </w:drawing>
      </w:r>
      <w:r>
        <w:rPr>
          <w:rFonts w:hint="eastAsia" w:ascii="华文新魏" w:hAnsi="宋体" w:eastAsia="华文新魏"/>
          <w:b/>
          <w:sz w:val="32"/>
          <w:szCs w:val="28"/>
          <w:lang w:eastAsia="zh-CN"/>
        </w:rPr>
        <w:drawing>
          <wp:inline distT="0" distB="0" distL="114300" distR="114300">
            <wp:extent cx="1402080" cy="1722120"/>
            <wp:effectExtent l="0" t="0" r="7620" b="11430"/>
            <wp:docPr id="16" name="图片 16" descr="a79ec51e6a104baa4599599adc57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79ec51e6a104baa4599599adc571f2"/>
                    <pic:cNvPicPr>
                      <a:picLocks noChangeAspect="1"/>
                    </pic:cNvPicPr>
                  </pic:nvPicPr>
                  <pic:blipFill>
                    <a:blip r:embed="rId19"/>
                    <a:stretch>
                      <a:fillRect/>
                    </a:stretch>
                  </pic:blipFill>
                  <pic:spPr>
                    <a:xfrm>
                      <a:off x="0" y="0"/>
                      <a:ext cx="1402080" cy="1722120"/>
                    </a:xfrm>
                    <a:prstGeom prst="rect">
                      <a:avLst/>
                    </a:prstGeom>
                  </pic:spPr>
                </pic:pic>
              </a:graphicData>
            </a:graphic>
          </wp:inline>
        </w:drawing>
      </w:r>
      <w:bookmarkStart w:id="2" w:name="_GoBack"/>
      <w:r>
        <w:rPr>
          <w:rFonts w:hint="eastAsia" w:ascii="华文新魏" w:hAnsi="宋体" w:eastAsia="华文新魏"/>
          <w:b/>
          <w:sz w:val="32"/>
          <w:szCs w:val="28"/>
          <w:lang w:eastAsia="zh-CN"/>
        </w:rPr>
        <w:drawing>
          <wp:inline distT="0" distB="0" distL="114300" distR="114300">
            <wp:extent cx="1348740" cy="1790700"/>
            <wp:effectExtent l="0" t="0" r="3810" b="0"/>
            <wp:docPr id="18" name="图片 18" descr="5c69d88aa0965ba2a831ac6c00b28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c69d88aa0965ba2a831ac6c00b28fa"/>
                    <pic:cNvPicPr>
                      <a:picLocks noChangeAspect="1"/>
                    </pic:cNvPicPr>
                  </pic:nvPicPr>
                  <pic:blipFill>
                    <a:blip r:embed="rId20"/>
                    <a:stretch>
                      <a:fillRect/>
                    </a:stretch>
                  </pic:blipFill>
                  <pic:spPr>
                    <a:xfrm>
                      <a:off x="0" y="0"/>
                      <a:ext cx="1348740" cy="1790700"/>
                    </a:xfrm>
                    <a:prstGeom prst="rect">
                      <a:avLst/>
                    </a:prstGeom>
                  </pic:spPr>
                </pic:pic>
              </a:graphicData>
            </a:graphic>
          </wp:inline>
        </w:drawing>
      </w:r>
      <w:r>
        <w:rPr>
          <w:rFonts w:hint="eastAsia" w:ascii="华文新魏" w:hAnsi="宋体" w:eastAsia="华文新魏"/>
          <w:b/>
          <w:sz w:val="32"/>
          <w:szCs w:val="28"/>
          <w:lang w:eastAsia="zh-CN"/>
        </w:rPr>
        <w:drawing>
          <wp:inline distT="0" distB="0" distL="114300" distR="114300">
            <wp:extent cx="1386840" cy="1775460"/>
            <wp:effectExtent l="0" t="0" r="3810" b="15240"/>
            <wp:docPr id="19" name="图片 19" descr="44041010d6fce63cca5a8998246c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4041010d6fce63cca5a8998246c276"/>
                    <pic:cNvPicPr>
                      <a:picLocks noChangeAspect="1"/>
                    </pic:cNvPicPr>
                  </pic:nvPicPr>
                  <pic:blipFill>
                    <a:blip r:embed="rId21"/>
                    <a:stretch>
                      <a:fillRect/>
                    </a:stretch>
                  </pic:blipFill>
                  <pic:spPr>
                    <a:xfrm>
                      <a:off x="0" y="0"/>
                      <a:ext cx="1386840" cy="1775460"/>
                    </a:xfrm>
                    <a:prstGeom prst="rect">
                      <a:avLst/>
                    </a:prstGeom>
                  </pic:spPr>
                </pic:pic>
              </a:graphicData>
            </a:graphic>
          </wp:inline>
        </w:drawing>
      </w:r>
      <w:r>
        <w:rPr>
          <w:rFonts w:hint="eastAsia" w:ascii="华文新魏" w:hAnsi="宋体" w:eastAsia="华文新魏"/>
          <w:b/>
          <w:sz w:val="32"/>
          <w:szCs w:val="28"/>
          <w:lang w:eastAsia="zh-CN"/>
        </w:rPr>
        <w:drawing>
          <wp:inline distT="0" distB="0" distL="114300" distR="114300">
            <wp:extent cx="1424940" cy="1775460"/>
            <wp:effectExtent l="0" t="0" r="3810" b="15240"/>
            <wp:docPr id="20" name="图片 20" descr="e186eb6aa47c24b1b1fc73e981dbe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186eb6aa47c24b1b1fc73e981dbef1"/>
                    <pic:cNvPicPr>
                      <a:picLocks noChangeAspect="1"/>
                    </pic:cNvPicPr>
                  </pic:nvPicPr>
                  <pic:blipFill>
                    <a:blip r:embed="rId22"/>
                    <a:stretch>
                      <a:fillRect/>
                    </a:stretch>
                  </pic:blipFill>
                  <pic:spPr>
                    <a:xfrm>
                      <a:off x="0" y="0"/>
                      <a:ext cx="1424940" cy="1775460"/>
                    </a:xfrm>
                    <a:prstGeom prst="rect">
                      <a:avLst/>
                    </a:prstGeom>
                  </pic:spPr>
                </pic:pic>
              </a:graphicData>
            </a:graphic>
          </wp:inline>
        </w:drawing>
      </w:r>
    </w:p>
    <w:bookmarkEnd w:id="2"/>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kMWZmMWE5ZDNhMzhiODU2NDRjNDBmYzIwNWZkNDQifQ=="/>
  </w:docVars>
  <w:rsids>
    <w:rsidRoot w:val="00000000"/>
    <w:rsid w:val="21B91F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customStyle="1" w:styleId="4">
    <w:name w:val="font31"/>
    <w:basedOn w:val="3"/>
    <w:autoRedefine/>
    <w:qFormat/>
    <w:uiPriority w:val="0"/>
    <w:rPr>
      <w:rFonts w:hint="eastAsia" w:ascii="宋体" w:hAnsi="宋体" w:eastAsia="宋体" w:cs="宋体"/>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0</Words>
  <Characters>0</Characters>
  <Lines>0</Lines>
  <Paragraphs>0</Paragraphs>
  <TotalTime>4</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2024-04-24T06:05:39Z</dcterms:created>
  <dc:creator>Administrator</dc:creator>
  <cp:lastModifiedBy>氮气</cp:lastModifiedBy>
  <dcterms:modified xsi:type="dcterms:W3CDTF">2024-04-24T06:10:32Z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E7ECC86B8F244EDC9BBA1047A290D570_12</vt:lpwstr>
  </property>
</Properties>
</file>